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jc w:val="center"/>
        <w:rPr>
          <w:color w:themeColor="text1"/>
          <w:highlight w:val="none"/>
          <w:shd w:fill="auto" w:val="clear"/>
        </w:rPr>
      </w:pPr>
      <w:commentRangeStart w:id="0"/>
      <w:r>
        <w:rPr>
          <w:rFonts w:cs="Arial" w:ascii="Arial" w:hAnsi="Arial"/>
          <w:b/>
          <w:bCs/>
          <w:color w:val="000000" w:themeColor="text1"/>
          <w:sz w:val="20"/>
          <w:szCs w:val="20"/>
          <w:shd w:fill="auto" w:val="clear"/>
        </w:rPr>
        <w:t>MODELO DE TERMO DE CONTRATO</w:t>
        <w:br/>
        <w:t>Lei nº 14.133, de 1º de abril de 2021</w:t>
        <w:br/>
        <w:t>SERVIÇOS COMUNS DE ENGENHARIA –</w:t>
      </w:r>
      <w:r>
        <w:rPr>
          <w:rFonts w:cs="Arial" w:ascii="Arial" w:hAnsi="Arial"/>
          <w:b/>
          <w:bCs/>
          <w:color w:val="000000" w:themeColor="text1"/>
          <w:sz w:val="20"/>
          <w:szCs w:val="20"/>
          <w:shd w:fill="auto" w:val="clear"/>
        </w:rPr>
      </w:r>
      <w:commentRangeEnd w:id="0"/>
      <w:r>
        <w:commentReference w:id="0"/>
      </w:r>
      <w:r>
        <w:rPr>
          <w:b/>
          <w:bCs/>
          <w:color w:val="000000" w:themeColor="text1"/>
          <w:shd w:fill="auto" w:val="clear"/>
        </w:rPr>
        <w:t xml:space="preserve"> </w:t>
      </w:r>
      <w:r>
        <w:rPr>
          <w:rFonts w:cs="Arial" w:ascii="Arial" w:hAnsi="Arial"/>
          <w:b/>
          <w:bCs/>
          <w:color w:val="000000" w:themeColor="text1"/>
          <w:sz w:val="20"/>
          <w:szCs w:val="20"/>
          <w:shd w:fill="auto" w:val="clear"/>
        </w:rPr>
        <w:t>CONTRATAÇÃO DIRETA</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firstLine="709"/>
        <w:jc w:val="center"/>
        <w:rPr>
          <w:color w:val="000000"/>
        </w:rPr>
      </w:pPr>
      <w:r>
        <w:rPr>
          <w:rFonts w:cs="Arial" w:ascii="Arial" w:hAnsi="Arial"/>
          <w:b/>
          <w:bCs/>
          <w:i/>
          <w:color w:val="000000"/>
          <w:sz w:val="20"/>
          <w:szCs w:val="20"/>
        </w:rPr>
        <w:t xml:space="preserve">32º Grupo de Artilharia de Campanha </w:t>
      </w:r>
    </w:p>
    <w:p>
      <w:pPr>
        <w:pStyle w:val="Normal"/>
        <w:spacing w:lineRule="auto" w:line="312" w:before="120" w:after="288"/>
        <w:ind w:firstLine="709"/>
        <w:jc w:val="center"/>
        <w:rPr>
          <w:color w:val="000000"/>
        </w:rPr>
      </w:pPr>
      <w:r>
        <w:rPr>
          <w:rFonts w:cs="Arial" w:ascii="Arial" w:hAnsi="Arial"/>
          <w:b/>
          <w:bCs/>
          <w:i/>
          <w:color w:val="000000"/>
          <w:sz w:val="20"/>
          <w:szCs w:val="20"/>
        </w:rPr>
        <w:t>Grupo Dom Pedro I</w:t>
      </w:r>
      <w:r>
        <w:rPr>
          <w:rFonts w:cs="Arial" w:ascii="Arial" w:hAnsi="Arial"/>
          <w:b/>
          <w:bCs/>
          <w:i/>
          <w:color w:val="000000"/>
          <w:sz w:val="20"/>
          <w:szCs w:val="20"/>
        </w:rPr>
        <w:t xml:space="preserve"> </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64561.010490/2024-65 )</w:t>
      </w:r>
    </w:p>
    <w:p>
      <w:pPr>
        <w:pStyle w:val="Prembulo"/>
        <w:spacing w:lineRule="auto" w:line="312" w:before="120" w:after="288"/>
        <w:ind w:left="4253" w:right="-170" w:hanging="0"/>
        <w:rPr>
          <w:bCs w:val="false"/>
        </w:rPr>
      </w:pPr>
      <w:r>
        <w:rPr>
          <w:bCs w:val="false"/>
        </w:rPr>
        <w:t xml:space="preserve">CONTRATO ADMINISTRATIVO Nº </w:t>
      </w:r>
      <w:r>
        <w:rPr>
          <w:bCs w:val="false"/>
          <w:shd w:fill="FFFF00" w:val="clear"/>
        </w:rPr>
        <w:t>XXXXXX</w:t>
      </w:r>
      <w:r>
        <w:rPr>
          <w:bCs w:val="false"/>
        </w:rPr>
        <w:t>,</w:t>
      </w:r>
      <w:r>
        <w:rPr>
          <w:bCs w:val="false"/>
        </w:rPr>
        <w:t xml:space="preserve"> QUE FAZEM ENTRE SI A UNIÃO, POR INTERMÉDIO DO </w:t>
      </w:r>
      <w:r>
        <w:rPr>
          <w:bCs w:val="false"/>
        </w:rPr>
        <w:t>32º GAC</w:t>
      </w:r>
      <w:r>
        <w:rPr>
          <w:bCs w:val="false"/>
        </w:rPr>
        <w:t xml:space="preserve"> E ............................................................. </w:t>
      </w:r>
    </w:p>
    <w:p>
      <w:pPr>
        <w:pStyle w:val="Normal"/>
        <w:spacing w:lineRule="auto" w:line="312" w:before="120" w:after="288"/>
        <w:ind w:firstLine="567"/>
        <w:jc w:val="both"/>
        <w:rPr>
          <w:rFonts w:ascii="Arial" w:hAnsi="Arial" w:eastAsia="Arial" w:cs="Arial"/>
          <w:sz w:val="20"/>
          <w:szCs w:val="20"/>
        </w:rPr>
      </w:pPr>
      <w:commentRangeStart w:id="1"/>
      <w:r>
        <w:rPr>
          <w:rFonts w:eastAsia="Arial" w:cs="Arial" w:ascii="Arial" w:hAnsi="Arial"/>
          <w:i/>
          <w:iCs/>
          <w:color w:val="000000"/>
          <w:sz w:val="20"/>
          <w:szCs w:val="20"/>
        </w:rPr>
        <w:t xml:space="preserve">A União </w:t>
      </w:r>
      <w:r>
        <w:rPr>
          <w:rFonts w:eastAsia="Arial" w:cs="Arial" w:ascii="Arial" w:hAnsi="Arial"/>
          <w:color w:val="000000"/>
          <w:sz w:val="20"/>
          <w:szCs w:val="20"/>
        </w:rPr>
        <w:t xml:space="preserve">por intermédio do </w:t>
      </w:r>
      <w:r>
        <w:rPr>
          <w:rFonts w:eastAsia="Arial" w:cs="Arial" w:ascii="Arial" w:hAnsi="Arial"/>
          <w:color w:val="000000"/>
          <w:sz w:val="20"/>
          <w:szCs w:val="20"/>
        </w:rPr>
        <w:t>32º Grupo de Artilharia de Campanha</w:t>
      </w:r>
      <w:r>
        <w:rPr>
          <w:rFonts w:eastAsia="Arial" w:cs="Arial" w:ascii="Arial" w:hAnsi="Arial"/>
          <w:color w:val="000000"/>
          <w:sz w:val="20"/>
          <w:szCs w:val="20"/>
        </w:rPr>
        <w:t xml:space="preserve"> (</w:t>
      </w:r>
      <w:r>
        <w:rPr>
          <w:rFonts w:eastAsia="Arial" w:cs="Arial" w:ascii="Arial" w:hAnsi="Arial"/>
          <w:i/>
          <w:iCs/>
          <w:color w:val="000000"/>
          <w:sz w:val="20"/>
          <w:szCs w:val="20"/>
        </w:rPr>
        <w:t>órgão contratante</w:t>
      </w:r>
      <w:r>
        <w:rPr>
          <w:rFonts w:eastAsia="Arial" w:cs="Arial" w:ascii="Arial" w:hAnsi="Arial"/>
          <w:color w:val="000000"/>
          <w:sz w:val="20"/>
          <w:szCs w:val="20"/>
        </w:rPr>
        <w:t>)</w:t>
      </w:r>
      <w:r>
        <w:rPr>
          <w:rFonts w:eastAsia="Arial" w:cs="Arial" w:ascii="Arial" w:hAnsi="Arial"/>
          <w:color w:val="000000"/>
          <w:sz w:val="20"/>
          <w:szCs w:val="20"/>
        </w:rPr>
        <w:t>,</w:t>
      </w:r>
      <w:r>
        <w:rPr>
          <w:rFonts w:eastAsia="Arial" w:cs="Arial" w:ascii="Arial" w:hAnsi="Arial"/>
          <w:sz w:val="20"/>
          <w:szCs w:val="20"/>
        </w:rPr>
        <w:t xml:space="preserve"> com sede no(a) </w:t>
      </w:r>
      <w:r>
        <w:rPr>
          <w:rFonts w:eastAsia="Arial" w:cs="Arial" w:ascii="Arial" w:hAnsi="Arial"/>
          <w:color w:val="000000"/>
          <w:sz w:val="20"/>
          <w:szCs w:val="20"/>
        </w:rPr>
        <w:t>Setor Militar Urbano</w:t>
      </w:r>
      <w:r>
        <w:rPr>
          <w:rFonts w:eastAsia="Arial" w:cs="Arial" w:ascii="Arial" w:hAnsi="Arial"/>
          <w:color w:val="000000"/>
          <w:sz w:val="20"/>
          <w:szCs w:val="20"/>
        </w:rPr>
        <w:t xml:space="preserve">, na cidade de </w:t>
      </w:r>
      <w:r>
        <w:rPr>
          <w:rFonts w:eastAsia="Arial" w:cs="Arial" w:ascii="Arial" w:hAnsi="Arial"/>
          <w:color w:val="000000"/>
          <w:sz w:val="20"/>
          <w:szCs w:val="20"/>
        </w:rPr>
        <w:t>Brasília</w:t>
      </w:r>
      <w:r>
        <w:rPr>
          <w:rFonts w:eastAsia="Arial" w:cs="Arial" w:ascii="Arial" w:hAnsi="Arial"/>
          <w:color w:val="000000"/>
          <w:sz w:val="20"/>
          <w:szCs w:val="20"/>
        </w:rPr>
        <w:t>/</w:t>
      </w:r>
      <w:r>
        <w:rPr>
          <w:rFonts w:eastAsia="Arial" w:cs="Arial" w:ascii="Arial" w:hAnsi="Arial"/>
          <w:color w:val="000000"/>
          <w:sz w:val="20"/>
          <w:szCs w:val="20"/>
        </w:rPr>
        <w:t>DF</w:t>
      </w:r>
      <w:r>
        <w:rPr>
          <w:rFonts w:eastAsia="Arial" w:cs="Arial" w:ascii="Arial" w:hAnsi="Arial"/>
          <w:color w:val="000000"/>
          <w:sz w:val="20"/>
          <w:szCs w:val="20"/>
        </w:rPr>
        <w:t xml:space="preserve">, inscrito(a) no CNPJ sob o nº </w:t>
      </w:r>
      <w:r>
        <w:rPr>
          <w:rFonts w:eastAsia="Arial" w:cs="Arial" w:ascii="Arial" w:hAnsi="Arial"/>
          <w:color w:val="000000"/>
          <w:sz w:val="20"/>
          <w:szCs w:val="20"/>
        </w:rPr>
        <w:t>09624471000145</w:t>
      </w:r>
      <w:r>
        <w:rPr>
          <w:rFonts w:eastAsia="Arial" w:cs="Arial" w:ascii="Arial" w:hAnsi="Arial"/>
          <w:sz w:val="20"/>
          <w:szCs w:val="20"/>
        </w:rPr>
        <w:t xml:space="preserve">, neste ato representado(a) pelo(a) </w:t>
      </w:r>
      <w:r>
        <w:rPr>
          <w:rFonts w:eastAsia="Arial" w:cs="Arial" w:ascii="Arial" w:hAnsi="Arial"/>
          <w:sz w:val="20"/>
          <w:szCs w:val="20"/>
        </w:rPr>
        <w:t>Tenente Coronel Diogo Cersósimo Kristoschek, ordenador de despesas, nomeado pela Portaria nº 485, de 16 de maio de 2022, publicada na Seção 2 do Diário Oficial da União nº 485, de 16 de maio de 2022, portador da matrícula funcional nº 019524103-9 MD/EB</w:t>
      </w:r>
      <w:r>
        <w:rPr>
          <w:rFonts w:eastAsia="Arial" w:cs="Arial" w:ascii="Arial" w:hAnsi="Arial"/>
          <w:color w:val="FF0000"/>
          <w:sz w:val="20"/>
          <w:szCs w:val="20"/>
        </w:rPr>
        <w:t xml:space="preserve">, </w:t>
      </w:r>
      <w:r>
        <w:rPr>
          <w:rFonts w:eastAsia="Arial" w:cs="Arial" w:ascii="Arial" w:hAnsi="Arial"/>
          <w:sz w:val="20"/>
          <w:szCs w:val="20"/>
        </w:rPr>
        <w:t xml:space="preserve">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Style w:val="Normaltextrun"/>
          <w:rFonts w:cs="Arial" w:ascii="Arial" w:hAnsi="Arial"/>
          <w:i/>
          <w:iCs/>
          <w:color w:val="000000"/>
          <w:sz w:val="20"/>
          <w:szCs w:val="20"/>
          <w:shd w:fill="auto" w:val="clear"/>
        </w:rPr>
        <w:t xml:space="preserve">da Dispensa de Licitação n. </w:t>
      </w:r>
      <w:r>
        <w:rPr>
          <w:rStyle w:val="Normaltextrun"/>
          <w:rFonts w:cs="Arial" w:ascii="Arial" w:hAnsi="Arial"/>
          <w:i/>
          <w:iCs/>
          <w:color w:val="000000"/>
          <w:sz w:val="20"/>
          <w:szCs w:val="20"/>
          <w:shd w:fill="auto" w:val="clear"/>
        </w:rPr>
        <w:t>90017</w:t>
      </w:r>
      <w:r>
        <w:rPr>
          <w:rStyle w:val="Normaltextrun"/>
          <w:rFonts w:cs="Arial" w:ascii="Arial" w:hAnsi="Arial"/>
          <w:i/>
          <w:iCs/>
          <w:color w:val="000000"/>
          <w:sz w:val="20"/>
          <w:szCs w:val="20"/>
          <w:shd w:fill="auto" w:val="clear"/>
        </w:rPr>
        <w:t>/</w:t>
      </w:r>
      <w:r>
        <w:rPr>
          <w:rStyle w:val="Normaltextrun"/>
          <w:rFonts w:cs="Arial" w:ascii="Arial" w:hAnsi="Arial"/>
          <w:i/>
          <w:iCs/>
          <w:color w:val="000000"/>
          <w:sz w:val="20"/>
          <w:szCs w:val="20"/>
          <w:shd w:fill="auto" w:val="clear"/>
        </w:rPr>
        <w:t xml:space="preserve">2024 </w:t>
      </w:r>
      <w:r>
        <w:rPr>
          <w:rFonts w:eastAsia="Arial" w:cs="Arial" w:ascii="Arial" w:hAnsi="Arial"/>
          <w:sz w:val="20"/>
          <w:szCs w:val="20"/>
          <w:highlight w:val="yellow"/>
        </w:rPr>
        <w:t>,</w:t>
      </w:r>
      <w:r>
        <w:rPr>
          <w:rFonts w:eastAsia="Arial" w:cs="Arial" w:ascii="Arial" w:hAnsi="Arial"/>
          <w:sz w:val="20"/>
          <w:szCs w:val="20"/>
        </w:rPr>
        <w:t xml:space="preserve"> mediante as cláusulas e condições a seguir enunciadas.</w:t>
      </w:r>
      <w:commentRangeEnd w:id="1"/>
      <w:r>
        <w:commentReference w:id="1"/>
      </w:r>
      <w:r>
        <w:rPr>
          <w:rFonts w:eastAsia="Arial" w:cs="Arial" w:ascii="Arial" w:hAnsi="Arial"/>
          <w:sz w:val="20"/>
          <w:szCs w:val="20"/>
        </w:rPr>
      </w:r>
    </w:p>
    <w:p>
      <w:pPr>
        <w:pStyle w:val="Nivel01"/>
        <w:numPr>
          <w:ilvl w:val="0"/>
          <w:numId w:val="15"/>
        </w:numPr>
        <w:spacing w:lineRule="auto" w:line="312" w:before="120" w:after="288"/>
        <w:ind w:left="0" w:hanging="0"/>
        <w:rPr>
          <w:color w:val="FFFFFF" w:themeColor="background1"/>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6"/>
        </w:numPr>
        <w:spacing w:lineRule="auto" w:line="312" w:before="120" w:after="288"/>
        <w:ind w:left="0" w:firstLine="709"/>
        <w:rPr>
          <w:color w:val="000000"/>
        </w:rPr>
      </w:pPr>
      <w:r>
        <w:rPr>
          <w:color w:val="000000"/>
        </w:rPr>
        <w:t xml:space="preserve">O objeto do presente instrumento é a contratação de serviços comuns de engenharia </w:t>
      </w:r>
      <w:r>
        <w:rPr>
          <w:color w:val="000000"/>
        </w:rPr>
        <w:t>para perfuração de um poço artesiano</w:t>
      </w:r>
      <w:r>
        <w:rPr>
          <w:color w:val="000000"/>
        </w:rPr>
        <w:t>, nas condições estabelecidas no Termo de Referência.</w:t>
      </w:r>
    </w:p>
    <w:p>
      <w:pPr>
        <w:pStyle w:val="Nivel2"/>
        <w:numPr>
          <w:ilvl w:val="0"/>
          <w:numId w:val="0"/>
        </w:numPr>
        <w:spacing w:lineRule="auto" w:line="312" w:before="120" w:after="288"/>
        <w:ind w:left="0" w:firstLine="709"/>
        <w:rPr>
          <w:color w:val="000000"/>
        </w:rPr>
      </w:pPr>
      <w:r>
        <w:rPr>
          <w:color w:val="000000"/>
        </w:rPr>
      </w:r>
    </w:p>
    <w:p>
      <w:pPr>
        <w:pStyle w:val="Nivel2"/>
        <w:numPr>
          <w:ilvl w:val="0"/>
          <w:numId w:val="0"/>
        </w:numPr>
        <w:spacing w:lineRule="auto" w:line="312" w:before="120" w:after="288"/>
        <w:ind w:left="0" w:firstLine="709"/>
        <w:rPr>
          <w:color w:val="000000"/>
        </w:rPr>
      </w:pPr>
      <w:r>
        <w:rPr>
          <w:color w:val="000000"/>
        </w:rPr>
      </w:r>
    </w:p>
    <w:p>
      <w:pPr>
        <w:pStyle w:val="Nivel2"/>
        <w:numPr>
          <w:ilvl w:val="0"/>
          <w:numId w:val="0"/>
        </w:numPr>
        <w:spacing w:lineRule="auto" w:line="312" w:before="120" w:after="288"/>
        <w:ind w:left="0" w:firstLine="709"/>
        <w:rPr>
          <w:color w:val="000000"/>
        </w:rPr>
      </w:pPr>
      <w:r>
        <w:rPr>
          <w:color w:val="000000"/>
        </w:rPr>
      </w:r>
    </w:p>
    <w:p>
      <w:pPr>
        <w:pStyle w:val="Nivel2"/>
        <w:numPr>
          <w:ilvl w:val="1"/>
          <w:numId w:val="17"/>
        </w:numPr>
        <w:spacing w:lineRule="auto" w:line="312" w:before="120" w:after="288"/>
        <w:ind w:left="0" w:firstLine="709"/>
        <w:rPr/>
      </w:pPr>
      <w:r>
        <w:rPr/>
        <w:t>Objeto da contratação:</w:t>
      </w:r>
    </w:p>
    <w:tbl>
      <w:tblPr>
        <w:tblW w:w="9780"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957"/>
        <w:gridCol w:w="1530"/>
        <w:gridCol w:w="1335"/>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color w:val="000000" w:themeColor="text1"/>
                <w:sz w:val="20"/>
                <w:szCs w:val="20"/>
              </w:rPr>
              <w:t>ITEM</w:t>
            </w:r>
          </w:p>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color w:val="000000" w:themeColor="text1"/>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color w:val="000000" w:themeColor="text1"/>
                <w:sz w:val="20"/>
                <w:szCs w:val="20"/>
              </w:rPr>
              <w:t>UNIDADE DE MEDIDA</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sz w:val="20"/>
                <w:szCs w:val="20"/>
              </w:rPr>
              <w:t>QUANTIDADE</w:t>
            </w:r>
          </w:p>
        </w:tc>
        <w:tc>
          <w:tcPr>
            <w:tcW w:w="15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sz w:val="20"/>
                <w:szCs w:val="20"/>
              </w:rPr>
              <w:t>VALOR UNITÁRIO</w:t>
            </w:r>
          </w:p>
        </w:tc>
        <w:tc>
          <w:tcPr>
            <w:tcW w:w="13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b/>
                <w:b/>
                <w:bCs/>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b w:val="false"/>
                <w:b w:val="false"/>
                <w:bCs w:val="false"/>
              </w:rPr>
            </w:pPr>
            <w:r>
              <w:rPr>
                <w:rFonts w:eastAsia="Arial" w:cs="Arial" w:ascii="Arial" w:hAnsi="Arial"/>
                <w:b w:val="false"/>
                <w:bCs w:val="false"/>
                <w:color w:val="000000" w:themeColor="text1"/>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rFonts w:ascii="Arial" w:hAnsi="Arial" w:eastAsia="Arial" w:cs="Arial"/>
                <w:b w:val="false"/>
                <w:b w:val="false"/>
                <w:bCs w:val="false"/>
                <w:color w:val="000000"/>
                <w:sz w:val="20"/>
                <w:szCs w:val="20"/>
              </w:rPr>
            </w:pPr>
            <w:r>
              <w:rPr>
                <w:rFonts w:eastAsia="Arial" w:cs="Arial" w:ascii="Arial" w:hAnsi="Arial"/>
                <w:b w:val="false"/>
                <w:bCs w:val="false"/>
                <w:color w:val="000000"/>
                <w:sz w:val="20"/>
                <w:szCs w:val="20"/>
              </w:rPr>
              <w:t>Perfuração e instalação de poço artesiano com até 200m, incluindo outorga e regularizações legais</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rFonts w:ascii="Arial" w:hAnsi="Arial" w:eastAsia="Arial" w:cs="Arial"/>
                <w:b w:val="false"/>
                <w:b w:val="false"/>
                <w:bCs w:val="false"/>
                <w:color w:val="000000"/>
                <w:sz w:val="20"/>
                <w:szCs w:val="20"/>
              </w:rPr>
            </w:pPr>
            <w:r>
              <w:rPr>
                <w:rFonts w:eastAsia="Arial" w:cs="Arial" w:ascii="Arial" w:hAnsi="Arial"/>
                <w:b w:val="false"/>
                <w:bCs w:val="false"/>
                <w:color w:val="000000"/>
                <w:sz w:val="20"/>
                <w:szCs w:val="20"/>
              </w:rPr>
              <w:t>1902</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rFonts w:ascii="Arial" w:hAnsi="Arial" w:eastAsia="Arial" w:cs="Arial"/>
                <w:b w:val="false"/>
                <w:b w:val="false"/>
                <w:bCs w:val="false"/>
                <w:color w:val="000000"/>
                <w:sz w:val="20"/>
                <w:szCs w:val="20"/>
              </w:rPr>
            </w:pPr>
            <w:r>
              <w:rPr>
                <w:rFonts w:eastAsia="Arial" w:cs="Arial" w:ascii="Arial" w:hAnsi="Arial"/>
                <w:b w:val="false"/>
                <w:bCs w:val="false"/>
                <w:color w:val="000000"/>
                <w:sz w:val="20"/>
                <w:szCs w:val="20"/>
              </w:rPr>
              <w:t>UN</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rFonts w:ascii="Arial" w:hAnsi="Arial" w:eastAsia="Arial" w:cs="Arial"/>
                <w:b w:val="false"/>
                <w:b w:val="false"/>
                <w:bCs w:val="false"/>
                <w:color w:val="000000"/>
                <w:sz w:val="20"/>
                <w:szCs w:val="20"/>
              </w:rPr>
            </w:pPr>
            <w:r>
              <w:rPr>
                <w:rFonts w:eastAsia="Arial" w:cs="Arial" w:ascii="Arial" w:hAnsi="Arial"/>
                <w:b w:val="false"/>
                <w:bCs w:val="false"/>
                <w:color w:val="000000"/>
                <w:sz w:val="20"/>
                <w:szCs w:val="20"/>
              </w:rPr>
              <w:t>1</w:t>
            </w:r>
          </w:p>
        </w:tc>
        <w:tc>
          <w:tcPr>
            <w:tcW w:w="15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rFonts w:ascii="Arial" w:hAnsi="Arial" w:eastAsia="Arial" w:cs="Arial"/>
                <w:b w:val="false"/>
                <w:b w:val="false"/>
                <w:bCs w:val="false"/>
                <w:color w:val="000000"/>
                <w:sz w:val="20"/>
                <w:szCs w:val="20"/>
              </w:rPr>
            </w:pPr>
            <w:r>
              <w:rPr>
                <w:rFonts w:eastAsia="Arial" w:cs="Arial" w:ascii="Arial" w:hAnsi="Arial"/>
                <w:b w:val="false"/>
                <w:bCs w:val="false"/>
                <w:color w:val="000000"/>
                <w:sz w:val="20"/>
                <w:szCs w:val="20"/>
              </w:rPr>
              <w:t>R$ 109.710,79</w:t>
            </w:r>
          </w:p>
        </w:tc>
        <w:tc>
          <w:tcPr>
            <w:tcW w:w="13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hanging="0"/>
              <w:jc w:val="center"/>
              <w:rPr>
                <w:rFonts w:ascii="Arial" w:hAnsi="Arial" w:eastAsia="Arial" w:cs="Arial"/>
                <w:b w:val="false"/>
                <w:b w:val="false"/>
                <w:bCs w:val="false"/>
                <w:color w:val="000000"/>
                <w:sz w:val="20"/>
                <w:szCs w:val="20"/>
              </w:rPr>
            </w:pPr>
            <w:r>
              <w:rPr>
                <w:rFonts w:eastAsia="Arial" w:cs="Arial" w:ascii="Arial" w:hAnsi="Arial"/>
                <w:b w:val="false"/>
                <w:bCs w:val="false"/>
                <w:color w:val="000000"/>
                <w:sz w:val="20"/>
                <w:szCs w:val="20"/>
              </w:rPr>
              <w:t>R$ 109.710,79</w:t>
            </w:r>
          </w:p>
        </w:tc>
      </w:tr>
    </w:tbl>
    <w:p>
      <w:pPr>
        <w:pStyle w:val="Nivel2"/>
        <w:numPr>
          <w:ilvl w:val="1"/>
          <w:numId w:val="18"/>
        </w:numPr>
        <w:spacing w:lineRule="auto" w:line="312" w:before="120" w:after="288"/>
        <w:ind w:left="0" w:firstLine="567"/>
        <w:rPr>
          <w:lang w:val="x-none"/>
        </w:rPr>
      </w:pPr>
      <w:r>
        <w:rPr/>
        <w:t>Vinculam esta contratação, independentemente de transcrição:</w:t>
      </w:r>
    </w:p>
    <w:p>
      <w:pPr>
        <w:pStyle w:val="Nivel3"/>
        <w:numPr>
          <w:ilvl w:val="2"/>
          <w:numId w:val="19"/>
        </w:numPr>
        <w:spacing w:lineRule="auto" w:line="312" w:before="120" w:after="288"/>
        <w:ind w:left="170" w:firstLine="709"/>
        <w:rPr>
          <w:lang w:val="x-none"/>
        </w:rPr>
      </w:pPr>
      <w:r>
        <w:rPr/>
        <w:t>O Termo de Referência;</w:t>
      </w:r>
    </w:p>
    <w:p>
      <w:pPr>
        <w:pStyle w:val="Nivel3"/>
        <w:numPr>
          <w:ilvl w:val="2"/>
          <w:numId w:val="20"/>
        </w:numPr>
        <w:spacing w:lineRule="auto" w:line="312" w:before="120" w:after="288"/>
        <w:ind w:left="170" w:firstLine="709"/>
        <w:rPr/>
      </w:pPr>
      <w:r>
        <w:rPr>
          <w:shd w:fill="auto" w:val="clear"/>
        </w:rPr>
        <w:t xml:space="preserve">A </w:t>
      </w:r>
      <w:r>
        <w:rPr>
          <w:rStyle w:val="Normaltextrun"/>
          <w:shd w:fill="auto" w:val="clear"/>
        </w:rPr>
        <w:t>Autorização de Contratação Direta e/ou o Aviso de Dispensa Eletrônica</w:t>
      </w:r>
    </w:p>
    <w:p>
      <w:pPr>
        <w:pStyle w:val="Nivel3"/>
        <w:numPr>
          <w:ilvl w:val="2"/>
          <w:numId w:val="21"/>
        </w:numPr>
        <w:spacing w:lineRule="auto" w:line="312" w:before="120" w:after="288"/>
        <w:ind w:left="170" w:firstLine="709"/>
        <w:rPr>
          <w:lang w:val="x-none"/>
        </w:rPr>
      </w:pPr>
      <w:r>
        <w:rPr/>
        <w:t>A Proposta do contratado;</w:t>
      </w:r>
    </w:p>
    <w:p>
      <w:pPr>
        <w:pStyle w:val="Nivel3"/>
        <w:numPr>
          <w:ilvl w:val="2"/>
          <w:numId w:val="22"/>
        </w:numPr>
        <w:spacing w:lineRule="auto" w:line="312" w:before="120" w:after="288"/>
        <w:ind w:left="170" w:firstLine="709"/>
        <w:rPr>
          <w:lang w:val="x-none"/>
        </w:rPr>
      </w:pPr>
      <w:r>
        <w:rPr/>
        <w:t>Eventuais anexos dos documentos supracitados.</w:t>
      </w:r>
    </w:p>
    <w:p>
      <w:pPr>
        <w:pStyle w:val="Nivel2"/>
        <w:numPr>
          <w:ilvl w:val="1"/>
          <w:numId w:val="23"/>
        </w:numPr>
        <w:spacing w:lineRule="auto" w:line="312" w:before="120" w:after="288"/>
        <w:ind w:left="567" w:hanging="0"/>
        <w:rPr>
          <w:color w:val="000000"/>
        </w:rPr>
      </w:pPr>
      <w:r>
        <w:rPr>
          <w:color w:val="000000"/>
          <w:lang w:val="x-none"/>
        </w:rPr>
        <w:t xml:space="preserve">O regime de execução é o de </w:t>
      </w:r>
      <w:r>
        <w:rPr>
          <w:i/>
          <w:color w:val="000000"/>
          <w:lang w:val="x-none"/>
        </w:rPr>
        <w:t>empreitada por preço unitário</w:t>
      </w:r>
    </w:p>
    <w:p>
      <w:pPr>
        <w:pStyle w:val="Nivel01"/>
        <w:numPr>
          <w:ilvl w:val="0"/>
          <w:numId w:val="24"/>
        </w:numPr>
        <w:spacing w:lineRule="auto" w:line="312" w:before="120" w:after="288"/>
        <w:ind w:left="0" w:hanging="0"/>
        <w:rPr>
          <w:color w:val="FFFFFF" w:themeColor="background1"/>
        </w:rPr>
      </w:pPr>
      <w:r>
        <w:rPr/>
        <w:t>CLÁUSULA SEGUNDA – VIGÊNCIA E PRORROGAÇÃO</w:t>
      </w:r>
    </w:p>
    <w:p>
      <w:pPr>
        <w:pStyle w:val="Nivel2"/>
        <w:numPr>
          <w:ilvl w:val="1"/>
          <w:numId w:val="25"/>
        </w:numPr>
        <w:spacing w:lineRule="auto" w:line="312" w:before="120" w:after="288"/>
        <w:ind w:left="0" w:firstLine="567"/>
        <w:rPr/>
      </w:pPr>
      <w:commentRangeStart w:id="2"/>
      <w:r>
        <w:rPr>
          <w:i/>
          <w:color w:val="000000"/>
        </w:rPr>
        <w:t xml:space="preserve">O prazo de vigência da contratação é de </w:t>
      </w:r>
      <w:r>
        <w:rPr>
          <w:i/>
          <w:color w:val="000000"/>
        </w:rPr>
        <w:t>300 (trezentos) dias</w:t>
      </w:r>
      <w:r>
        <w:rPr>
          <w:i/>
          <w:color w:val="000000"/>
        </w:rPr>
        <w:t xml:space="preserve"> contados d</w:t>
      </w:r>
      <w:r>
        <w:rPr>
          <w:i/>
          <w:color w:val="000000"/>
        </w:rPr>
        <w:t>a assinatura da ordem de serviço</w:t>
      </w:r>
      <w:r>
        <w:rPr>
          <w:i/>
          <w:color w:val="000000"/>
        </w:rPr>
        <w:t xml:space="preserve">, na forma </w:t>
      </w:r>
      <w:r>
        <w:fldChar w:fldCharType="begin"/>
      </w:r>
      <w:r>
        <w:rPr>
          <w:rStyle w:val="LinkdaInternet"/>
          <w:i/>
          <w:color w:val="000000"/>
        </w:rPr>
        <w:instrText xml:space="preserve"> HYPERLINK "http://www.planalto.gov.br/ccivil_03/_ato2019-2022/2021/lei/L14133.htm" \l "art105"</w:instrText>
      </w:r>
      <w:r>
        <w:rPr>
          <w:rStyle w:val="LinkdaInternet"/>
          <w:i/>
          <w:color w:val="000000"/>
        </w:rPr>
        <w:fldChar w:fldCharType="separate"/>
      </w:r>
      <w:r>
        <w:rPr>
          <w:rStyle w:val="LinkdaInternet"/>
          <w:i/>
          <w:color w:val="000000"/>
        </w:rPr>
        <w:t>do artigo 105 da Lei n° 14.133, de 2021</w:t>
      </w:r>
      <w:r>
        <w:rPr>
          <w:rStyle w:val="LinkdaInternet"/>
          <w:i/>
          <w:color w:val="000000"/>
        </w:rPr>
        <w:fldChar w:fldCharType="end"/>
      </w:r>
      <w:r>
        <w:rPr>
          <w:i/>
          <w:color w:val="000000"/>
        </w:rPr>
        <w:t>.</w:t>
      </w:r>
    </w:p>
    <w:p>
      <w:pPr>
        <w:pStyle w:val="Nivel2"/>
        <w:numPr>
          <w:ilvl w:val="1"/>
          <w:numId w:val="26"/>
        </w:numPr>
        <w:spacing w:lineRule="auto" w:line="312" w:before="120" w:after="288"/>
        <w:ind w:left="0" w:firstLine="567"/>
        <w:rPr>
          <w:color w:val="000000"/>
        </w:rPr>
      </w:pPr>
      <w:r>
        <w:rPr>
          <w:i/>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commentReference w:id="2"/>
      </w:r>
      <w:r>
        <w:rPr>
          <w:i/>
          <w:color w:val="000000"/>
        </w:rPr>
      </w:r>
    </w:p>
    <w:p>
      <w:pPr>
        <w:pStyle w:val="Nivel2"/>
        <w:numPr>
          <w:ilvl w:val="1"/>
          <w:numId w:val="27"/>
        </w:numPr>
        <w:spacing w:lineRule="auto" w:line="312" w:before="120" w:after="288"/>
        <w:ind w:left="0" w:firstLine="567"/>
        <w:rPr>
          <w:color w:val="000000"/>
        </w:rPr>
      </w:pPr>
      <w:r>
        <w:rPr>
          <w:i/>
          <w:color w:val="00000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ivel2"/>
        <w:numPr>
          <w:ilvl w:val="1"/>
          <w:numId w:val="13"/>
        </w:numPr>
        <w:ind w:left="1418" w:hanging="0"/>
        <w:rPr>
          <w:color w:val="000000"/>
        </w:rPr>
      </w:pPr>
      <w:r>
        <w:rPr>
          <w:i/>
          <w:color w:val="000000"/>
        </w:rPr>
        <w:t>Estar formalmente demonstrado no processo que a forma de prestação dos serviços tem natureza continuada;</w:t>
      </w:r>
    </w:p>
    <w:p>
      <w:pPr>
        <w:pStyle w:val="Nivel2"/>
        <w:numPr>
          <w:ilvl w:val="1"/>
          <w:numId w:val="13"/>
        </w:numPr>
        <w:ind w:left="1418" w:hanging="0"/>
        <w:rPr>
          <w:color w:val="000000"/>
        </w:rPr>
      </w:pPr>
      <w:r>
        <w:rPr>
          <w:i/>
          <w:color w:val="000000"/>
        </w:rPr>
        <w:t xml:space="preserve">Seja juntado relatório que discorra sobre a execução do contrato, com informações de que os serviços tenham sido prestados regularmente;  </w:t>
      </w:r>
    </w:p>
    <w:p>
      <w:pPr>
        <w:pStyle w:val="Nivel2"/>
        <w:numPr>
          <w:ilvl w:val="1"/>
          <w:numId w:val="13"/>
        </w:numPr>
        <w:ind w:left="1418" w:hanging="0"/>
        <w:rPr>
          <w:color w:val="000000"/>
        </w:rPr>
      </w:pPr>
      <w:r>
        <w:rPr>
          <w:i/>
          <w:color w:val="000000"/>
        </w:rPr>
        <w:t xml:space="preserve">Seja juntada justificativa e motivo, por escrito, de que a Administração mantém interesse na realização do serviço;  </w:t>
      </w:r>
    </w:p>
    <w:p>
      <w:pPr>
        <w:pStyle w:val="Nivel2"/>
        <w:numPr>
          <w:ilvl w:val="1"/>
          <w:numId w:val="13"/>
        </w:numPr>
        <w:ind w:left="1418" w:hanging="0"/>
        <w:rPr>
          <w:color w:val="000000"/>
        </w:rPr>
      </w:pPr>
      <w:r>
        <w:rPr>
          <w:i/>
          <w:color w:val="000000"/>
        </w:rPr>
        <w:t xml:space="preserve">Haja manifestação expressa do contratado informando o interesse na prorrogação; </w:t>
      </w:r>
    </w:p>
    <w:p>
      <w:pPr>
        <w:pStyle w:val="Nivel2"/>
        <w:numPr>
          <w:ilvl w:val="1"/>
          <w:numId w:val="13"/>
        </w:numPr>
        <w:ind w:left="1418" w:hanging="0"/>
        <w:rPr>
          <w:color w:val="000000"/>
        </w:rPr>
      </w:pPr>
      <w:r>
        <w:rPr>
          <w:i/>
          <w:color w:val="000000"/>
        </w:rPr>
        <w:t>Seja comprovado que o contratado mantém as condições iniciais de habilitação.</w:t>
      </w:r>
    </w:p>
    <w:p>
      <w:pPr>
        <w:pStyle w:val="Nivel2"/>
        <w:numPr>
          <w:ilvl w:val="1"/>
          <w:numId w:val="28"/>
        </w:numPr>
        <w:spacing w:lineRule="auto" w:line="312" w:before="120" w:after="288"/>
        <w:ind w:left="0" w:firstLine="567"/>
        <w:rPr>
          <w:color w:val="000000"/>
        </w:rPr>
      </w:pPr>
      <w:r>
        <w:rPr>
          <w:i/>
          <w:color w:val="000000"/>
        </w:rPr>
        <w:t>O contratado não tem direito subjetivo à prorrogação contratual.</w:t>
      </w:r>
    </w:p>
    <w:p>
      <w:pPr>
        <w:pStyle w:val="Nivel2"/>
        <w:numPr>
          <w:ilvl w:val="1"/>
          <w:numId w:val="29"/>
        </w:numPr>
        <w:spacing w:lineRule="auto" w:line="312" w:before="120" w:after="288"/>
        <w:ind w:left="0" w:firstLine="567"/>
        <w:rPr>
          <w:color w:val="000000"/>
        </w:rPr>
      </w:pPr>
      <w:r>
        <w:rPr>
          <w:i/>
          <w:color w:val="000000"/>
        </w:rPr>
        <w:t xml:space="preserve">A prorrogação de contrato deverá ser promovida mediante celebração de termo aditivo. </w:t>
      </w:r>
    </w:p>
    <w:p>
      <w:pPr>
        <w:pStyle w:val="Nivel2"/>
        <w:numPr>
          <w:ilvl w:val="1"/>
          <w:numId w:val="30"/>
        </w:numPr>
        <w:spacing w:lineRule="auto" w:line="312" w:before="120" w:after="288"/>
        <w:ind w:left="0" w:firstLine="567"/>
        <w:rPr>
          <w:color w:val="000000"/>
        </w:rPr>
      </w:pPr>
      <w:r>
        <w:rPr>
          <w:i/>
          <w:color w:val="000000"/>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31"/>
        </w:numPr>
        <w:spacing w:lineRule="auto" w:line="312" w:before="120" w:after="288"/>
        <w:ind w:left="0" w:firstLine="567"/>
        <w:rPr>
          <w:color w:val="000000"/>
        </w:rPr>
      </w:pPr>
      <w:r>
        <w:rPr>
          <w:i/>
          <w:iCs/>
          <w:color w:val="000000"/>
        </w:rPr>
        <w:t>O contrato não poderá ser prorrogado quando o contratado tiver sido penalizado nas sanções de declaração de inidoneidade ou impedimento de licitar e contratar com poder público, observadas as abrangências de aplicação.</w:t>
      </w:r>
    </w:p>
    <w:p>
      <w:pPr>
        <w:pStyle w:val="Normal"/>
        <w:keepNext w:val="true"/>
        <w:keepLines/>
        <w:numPr>
          <w:ilvl w:val="0"/>
          <w:numId w:val="0"/>
        </w:numPr>
        <w:tabs>
          <w:tab w:val="clear" w:pos="708"/>
          <w:tab w:val="left" w:pos="567" w:leader="none"/>
        </w:tabs>
        <w:spacing w:before="240" w:after="240"/>
        <w:ind w:left="357" w:hanging="357"/>
        <w:jc w:val="center"/>
        <w:outlineLvl w:val="0"/>
        <w:rPr>
          <w:rFonts w:ascii="Arial" w:hAnsi="Arial" w:eastAsia="ＭＳ ゴシック" w:cs="Arial" w:eastAsiaTheme="majorEastAsia"/>
          <w:b/>
          <w:b/>
          <w:bCs/>
          <w:i/>
          <w:i/>
          <w:color w:val="FF0000"/>
          <w:sz w:val="20"/>
          <w:szCs w:val="20"/>
          <w:highlight w:val="yellow"/>
          <w:u w:val="single"/>
        </w:rPr>
      </w:pPr>
      <w:r>
        <w:rPr/>
      </w:r>
    </w:p>
    <w:p>
      <w:pPr>
        <w:pStyle w:val="Normal"/>
        <w:rPr/>
      </w:pPr>
      <w:r>
        <w:rPr/>
      </w:r>
    </w:p>
    <w:p>
      <w:pPr>
        <w:pStyle w:val="Nivel01"/>
        <w:numPr>
          <w:ilvl w:val="0"/>
          <w:numId w:val="32"/>
        </w:numPr>
        <w:spacing w:lineRule="auto" w:line="312" w:before="120" w:after="288"/>
        <w:ind w:left="0" w:hanging="0"/>
        <w:rPr>
          <w:color w:val="FFFFFF" w:themeColor="background1"/>
        </w:rPr>
      </w:pPr>
      <w:bookmarkStart w:id="0" w:name="_Hlk114497502"/>
      <w:bookmarkStart w:id="1" w:name="_Hlk114497577"/>
      <w:bookmarkEnd w:id="0"/>
      <w:bookmarkEnd w:id="1"/>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33"/>
        </w:numPr>
        <w:spacing w:lineRule="auto" w:line="312" w:before="120" w:after="288"/>
        <w:ind w:left="0" w:firstLine="567"/>
        <w:rPr/>
      </w:pPr>
      <w:r>
        <w:rPr/>
        <w:t>O regime de execução contratual, os modelos de gestão e de execução, assim como os prazos e condições de conclusão, entrega, observação e recebimento do objeto constam no Termo de Referência, anexo a este Contrato.</w:t>
      </w:r>
    </w:p>
    <w:p>
      <w:pPr>
        <w:pStyle w:val="Nivel3"/>
        <w:numPr>
          <w:ilvl w:val="0"/>
          <w:numId w:val="0"/>
        </w:numPr>
        <w:spacing w:lineRule="auto" w:line="312" w:before="120" w:after="288"/>
        <w:ind w:left="170" w:hanging="0"/>
        <w:rPr/>
      </w:pPr>
      <w:r>
        <w:rPr/>
      </w:r>
    </w:p>
    <w:p>
      <w:pPr>
        <w:pStyle w:val="Nivel01"/>
        <w:numPr>
          <w:ilvl w:val="0"/>
          <w:numId w:val="34"/>
        </w:numPr>
        <w:spacing w:lineRule="auto" w:line="312" w:before="120" w:after="288"/>
        <w:ind w:left="0" w:hanging="0"/>
        <w:rPr>
          <w:color w:val="FFFFFF" w:themeColor="background1"/>
        </w:rPr>
      </w:pPr>
      <w:r>
        <w:rPr/>
        <w:t>CLÁUSULA QUARTA – SUBCONTRATAÇÃO</w:t>
      </w:r>
    </w:p>
    <w:p>
      <w:pPr>
        <w:pStyle w:val="Nivel2"/>
        <w:numPr>
          <w:ilvl w:val="1"/>
          <w:numId w:val="35"/>
        </w:numPr>
        <w:spacing w:lineRule="auto" w:line="312" w:before="120" w:after="288"/>
        <w:ind w:left="0" w:firstLine="567"/>
        <w:rPr>
          <w:color w:val="000000"/>
        </w:rPr>
      </w:pPr>
      <w:r>
        <w:rPr>
          <w:i/>
          <w:color w:val="000000"/>
        </w:rPr>
        <w:t>Não será admitida a subcontratação do objeto contratual.</w:t>
      </w:r>
    </w:p>
    <w:p>
      <w:pPr>
        <w:pStyle w:val="Nivel01"/>
        <w:numPr>
          <w:ilvl w:val="0"/>
          <w:numId w:val="36"/>
        </w:numPr>
        <w:spacing w:lineRule="auto" w:line="312" w:before="120" w:after="288"/>
        <w:ind w:left="0" w:hanging="0"/>
        <w:rPr>
          <w:color w:val="FFFFFF" w:themeColor="background1"/>
        </w:rPr>
      </w:pPr>
      <w:r>
        <w:rPr/>
        <w:t>CLÁUSULA QUINTA - PREÇO</w:t>
      </w:r>
    </w:p>
    <w:p>
      <w:pPr>
        <w:pStyle w:val="Nivel2"/>
        <w:numPr>
          <w:ilvl w:val="1"/>
          <w:numId w:val="37"/>
        </w:numPr>
        <w:spacing w:lineRule="auto" w:line="312" w:before="120" w:after="288"/>
        <w:ind w:left="0" w:firstLine="567"/>
        <w:rPr>
          <w:color w:val="000000"/>
        </w:rPr>
      </w:pPr>
      <w:r>
        <w:rPr>
          <w:i/>
          <w:color w:val="000000"/>
        </w:rPr>
        <w:t xml:space="preserve">O valor total da contratação é de  </w:t>
      </w:r>
      <w:r>
        <w:rPr>
          <w:rFonts w:eastAsia="Arial" w:cs="Arial"/>
          <w:b w:val="false"/>
          <w:bCs w:val="false"/>
          <w:i/>
          <w:color w:val="000000"/>
          <w:sz w:val="20"/>
          <w:szCs w:val="20"/>
        </w:rPr>
        <w:t>R$ 109.710,79</w:t>
      </w:r>
    </w:p>
    <w:p>
      <w:pPr>
        <w:pStyle w:val="Nivel2"/>
        <w:numPr>
          <w:ilvl w:val="1"/>
          <w:numId w:val="38"/>
        </w:numPr>
        <w:spacing w:lineRule="auto" w:line="312" w:before="120" w:after="288"/>
        <w:ind w:left="0" w:firstLine="567"/>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39"/>
        </w:numPr>
        <w:spacing w:lineRule="auto" w:line="312" w:before="120" w:after="288"/>
        <w:ind w:left="0" w:firstLine="567"/>
        <w:rPr/>
      </w:pPr>
      <w:r>
        <w:rPr>
          <w:i/>
          <w:color w:val="000000"/>
        </w:rPr>
        <w:t xml:space="preserve">O valor acima é meramente estimativo, de forma que os pagamentos devidos ao contratado dependerão dos quantitativos </w:t>
      </w:r>
      <w:r>
        <w:rPr>
          <w:rStyle w:val="Normaltextrun"/>
          <w:i/>
          <w:iCs/>
          <w:color w:val="000000"/>
          <w:shd w:fill="auto" w:val="clear"/>
        </w:rPr>
        <w:t>de serviços efetivamente prestados.</w:t>
      </w:r>
    </w:p>
    <w:p>
      <w:pPr>
        <w:pStyle w:val="Nivel01"/>
        <w:numPr>
          <w:ilvl w:val="0"/>
          <w:numId w:val="40"/>
        </w:numPr>
        <w:spacing w:lineRule="auto" w:line="312" w:before="120" w:after="288"/>
        <w:ind w:left="0" w:hanging="0"/>
        <w:rPr>
          <w:color w:val="FFFFFF" w:themeColor="background1"/>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41"/>
        </w:numPr>
        <w:spacing w:lineRule="auto" w:line="312" w:before="120" w:after="288"/>
        <w:ind w:left="0" w:firstLine="567"/>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42"/>
        </w:numPr>
        <w:spacing w:lineRule="auto" w:line="312" w:before="120" w:after="288"/>
        <w:ind w:left="0" w:hanging="0"/>
        <w:rPr>
          <w:color w:val="FFFFFF" w:themeColor="background1"/>
        </w:rPr>
      </w:pPr>
      <w:commentRangeStart w:id="3"/>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commentRangeEnd w:id="3"/>
      <w:r>
        <w:commentReference w:id="3"/>
      </w:r>
      <w:r>
        <w:rPr/>
      </w:r>
    </w:p>
    <w:p>
      <w:pPr>
        <w:pStyle w:val="Nivel2"/>
        <w:numPr>
          <w:ilvl w:val="1"/>
          <w:numId w:val="43"/>
        </w:numPr>
        <w:spacing w:lineRule="auto" w:line="312" w:before="120" w:after="288"/>
        <w:ind w:left="0" w:firstLine="567"/>
        <w:rPr/>
      </w:pPr>
      <w:r>
        <w:rPr/>
        <w:t>Os preços inicialmente contratados são fixos e irreajustáveis no prazo de um ano contado da data do orçamento estimado.</w:t>
      </w:r>
    </w:p>
    <w:p>
      <w:pPr>
        <w:pStyle w:val="ListParagraph"/>
        <w:numPr>
          <w:ilvl w:val="2"/>
          <w:numId w:val="9"/>
        </w:numPr>
        <w:spacing w:lineRule="auto" w:line="312" w:before="120" w:after="288"/>
        <w:ind w:left="170" w:firstLine="709"/>
        <w:contextualSpacing/>
        <w:jc w:val="both"/>
        <w:rPr>
          <w:rFonts w:ascii="Arial" w:hAnsi="Arial" w:cs="Arial"/>
          <w:i/>
          <w:i/>
          <w:color w:val="FF0000"/>
          <w:sz w:val="20"/>
          <w:szCs w:val="20"/>
        </w:rPr>
      </w:pPr>
      <w:r>
        <w:rPr>
          <w:rFonts w:cs="Arial" w:ascii="Arial" w:hAnsi="Arial"/>
          <w:sz w:val="20"/>
          <w:szCs w:val="20"/>
        </w:rPr>
        <w:t>O orçamento estimado pela Administração baseou-se</w:t>
      </w:r>
      <w:r>
        <w:rPr>
          <w:rFonts w:cs="Arial" w:ascii="Arial" w:hAnsi="Arial"/>
          <w:color w:val="FF0000"/>
          <w:sz w:val="20"/>
          <w:szCs w:val="20"/>
        </w:rPr>
        <w:t xml:space="preserve"> </w:t>
      </w:r>
      <w:r>
        <w:rPr>
          <w:rFonts w:cs="Arial" w:ascii="Arial" w:hAnsi="Arial"/>
          <w:sz w:val="20"/>
          <w:szCs w:val="20"/>
        </w:rPr>
        <w:t>nas planilhas referenciai</w:t>
      </w:r>
      <w:r>
        <w:rPr>
          <w:rFonts w:cs="Arial" w:ascii="Arial" w:hAnsi="Arial"/>
          <w:color w:val="000000"/>
          <w:sz w:val="20"/>
          <w:szCs w:val="20"/>
        </w:rPr>
        <w:t xml:space="preserve">s </w:t>
      </w:r>
      <w:r>
        <w:rPr>
          <w:rFonts w:cs="Arial" w:ascii="Arial" w:hAnsi="Arial"/>
          <w:i/>
          <w:color w:val="000000"/>
          <w:sz w:val="20"/>
          <w:szCs w:val="20"/>
        </w:rPr>
        <w:t xml:space="preserve">[elaboradas com base no SINAPI (SICRO) do </w:t>
      </w:r>
      <w:r>
        <w:rPr>
          <w:rFonts w:cs="Arial" w:ascii="Arial" w:hAnsi="Arial"/>
          <w:i/>
          <w:iCs/>
          <w:color w:val="000000"/>
          <w:sz w:val="20"/>
          <w:szCs w:val="20"/>
        </w:rPr>
        <w:t>ano de 2024</w:t>
      </w:r>
      <w:r>
        <w:rPr>
          <w:rFonts w:cs="Arial" w:ascii="Arial" w:hAnsi="Arial"/>
          <w:i/>
          <w:color w:val="FF0000"/>
          <w:sz w:val="20"/>
          <w:szCs w:val="20"/>
          <w:u w:val="single"/>
        </w:rPr>
        <w:t xml:space="preserve"> </w:t>
      </w:r>
      <w:r>
        <w:rPr>
          <w:rFonts w:cs="Arial" w:ascii="Arial" w:hAnsi="Arial"/>
          <w:i/>
          <w:color w:val="FF0000"/>
          <w:sz w:val="20"/>
          <w:szCs w:val="20"/>
          <w:u w:val="single"/>
        </w:rPr>
        <w:commentReference w:id="4"/>
      </w:r>
    </w:p>
    <w:p>
      <w:pPr>
        <w:pStyle w:val="ListParagraph"/>
        <w:spacing w:lineRule="auto" w:line="312" w:before="120" w:after="120"/>
        <w:ind w:left="1134" w:hanging="0"/>
        <w:contextualSpacing/>
        <w:rPr>
          <w:rFonts w:ascii="Arial" w:hAnsi="Arial" w:cs="Arial"/>
          <w:i/>
          <w:i/>
          <w:color w:val="FF0000"/>
          <w:sz w:val="20"/>
          <w:szCs w:val="20"/>
        </w:rPr>
      </w:pPr>
      <w:r>
        <w:rPr>
          <w:rFonts w:cs="Arial" w:ascii="Arial" w:hAnsi="Arial"/>
          <w:i/>
          <w:color w:val="FF0000"/>
          <w:sz w:val="20"/>
          <w:szCs w:val="20"/>
        </w:rPr>
      </w:r>
    </w:p>
    <w:p>
      <w:pPr>
        <w:pStyle w:val="Nivel2"/>
        <w:numPr>
          <w:ilvl w:val="1"/>
          <w:numId w:val="44"/>
        </w:numPr>
        <w:spacing w:lineRule="auto" w:line="312" w:before="120" w:after="288"/>
        <w:ind w:left="0" w:firstLine="567"/>
        <w:rPr/>
      </w:pPr>
      <w:commentRangeStart w:id="5"/>
      <w:r>
        <w:rPr/>
        <w:t xml:space="preserve">Após o interregno de um ano, </w:t>
      </w:r>
      <w:r>
        <w:rPr>
          <w:color w:val="000000" w:themeColor="text1"/>
        </w:rPr>
        <w:t>independentemente de pedido do contratado</w:t>
      </w:r>
      <w:r>
        <w:rPr>
          <w:color w:val="FF0000"/>
        </w:rPr>
        <w:t xml:space="preserve">, </w:t>
      </w:r>
      <w:r>
        <w:rPr/>
        <w:t>os preços iniciais serão reajustados, mediante a aplicação, pelo contratante, do índice</w:t>
      </w:r>
      <w:r>
        <w:rPr>
          <w:shd w:fill="FFFF00" w:val="clear"/>
        </w:rPr>
        <w:t xml:space="preserve"> </w:t>
      </w:r>
      <w:r>
        <w:rPr>
          <w:color w:val="FF0000"/>
          <w:shd w:fill="FFFF00" w:val="clear"/>
        </w:rPr>
        <w:t xml:space="preserve">___________ </w:t>
      </w:r>
      <w:r>
        <w:rPr>
          <w:i/>
          <w:iCs/>
          <w:color w:val="FF0000"/>
          <w:shd w:fill="FFFF00" w:val="clear"/>
        </w:rPr>
        <w:t>(indicar o índice a ser adotado</w:t>
      </w:r>
      <w:r>
        <w:rPr>
          <w:i/>
          <w:iCs/>
          <w:shd w:fill="FFFF00" w:val="clear"/>
        </w:rPr>
        <w:t>)</w:t>
      </w:r>
      <w:r>
        <w:rPr>
          <w:i/>
          <w:iCs/>
        </w:rPr>
        <w:t>,</w:t>
      </w:r>
      <w:r>
        <w:rPr/>
        <w:t xml:space="preserve"> exclusivamente para as obrigações iniciadas e concluídas após a ocorrência da </w:t>
      </w:r>
      <w:commentRangeStart w:id="6"/>
      <w:r>
        <w:rPr/>
        <w:t>anualidade</w:t>
      </w:r>
      <w:r>
        <w:rPr/>
      </w:r>
      <w:commentRangeEnd w:id="5"/>
      <w:r>
        <w:commentReference w:id="5"/>
      </w:r>
      <w:r>
        <w:rPr/>
      </w:r>
      <w:commentRangeEnd w:id="6"/>
      <w:r>
        <w:commentReference w:id="6"/>
      </w:r>
      <w:r>
        <w:rPr/>
        <w:t>.</w:t>
      </w:r>
    </w:p>
    <w:p>
      <w:pPr>
        <w:pStyle w:val="Nivel2"/>
        <w:numPr>
          <w:ilvl w:val="1"/>
          <w:numId w:val="45"/>
        </w:numPr>
        <w:spacing w:lineRule="auto" w:line="312" w:before="120" w:after="288"/>
        <w:ind w:left="0" w:firstLine="567"/>
        <w:rPr/>
      </w:pPr>
      <w:r>
        <w:rPr/>
        <w:t>Nos reajustes subsequentes ao primeiro, o interregno mínimo de um ano será contado a partir dos efeitos financeiros do último reajuste.</w:t>
      </w:r>
    </w:p>
    <w:p>
      <w:pPr>
        <w:pStyle w:val="Nivel2"/>
        <w:numPr>
          <w:ilvl w:val="1"/>
          <w:numId w:val="46"/>
        </w:numPr>
        <w:spacing w:lineRule="auto" w:line="312" w:before="120" w:after="288"/>
        <w:ind w:left="0" w:firstLine="567"/>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ListParagraph"/>
        <w:numPr>
          <w:ilvl w:val="1"/>
          <w:numId w:val="9"/>
        </w:numPr>
        <w:spacing w:lineRule="auto" w:line="312" w:before="120" w:after="120"/>
        <w:contextualSpacing/>
        <w:jc w:val="both"/>
        <w:rPr>
          <w:rFonts w:ascii="Arial" w:hAnsi="Arial" w:cs="Arial"/>
          <w:vanish/>
        </w:rPr>
      </w:pPr>
      <w:r>
        <w:rPr>
          <w:rFonts w:cs="Arial" w:ascii="Arial" w:hAnsi="Arial"/>
          <w:vanish/>
        </w:rPr>
      </w:r>
    </w:p>
    <w:p>
      <w:pPr>
        <w:pStyle w:val="ListParagraph"/>
        <w:numPr>
          <w:ilvl w:val="1"/>
          <w:numId w:val="9"/>
        </w:numPr>
        <w:spacing w:lineRule="auto" w:line="312" w:before="120" w:after="120"/>
        <w:contextualSpacing/>
        <w:jc w:val="both"/>
        <w:rPr>
          <w:rFonts w:ascii="Arial" w:hAnsi="Arial" w:cs="Arial"/>
          <w:vanish/>
        </w:rPr>
      </w:pPr>
      <w:r>
        <w:rPr>
          <w:rFonts w:cs="Arial" w:ascii="Arial" w:hAnsi="Arial"/>
          <w:vanish/>
        </w:rPr>
      </w:r>
    </w:p>
    <w:p>
      <w:pPr>
        <w:pStyle w:val="ListParagraph"/>
        <w:numPr>
          <w:ilvl w:val="1"/>
          <w:numId w:val="9"/>
        </w:numPr>
        <w:spacing w:lineRule="auto" w:line="312" w:before="120" w:after="120"/>
        <w:contextualSpacing/>
        <w:jc w:val="both"/>
        <w:rPr>
          <w:rFonts w:ascii="Arial" w:hAnsi="Arial" w:cs="Arial"/>
          <w:vanish/>
        </w:rPr>
      </w:pPr>
      <w:r>
        <w:rPr>
          <w:rFonts w:cs="Arial" w:ascii="Arial" w:hAnsi="Arial"/>
          <w:vanish/>
        </w:rPr>
      </w:r>
    </w:p>
    <w:p>
      <w:pPr>
        <w:pStyle w:val="ListParagraph"/>
        <w:numPr>
          <w:ilvl w:val="2"/>
          <w:numId w:val="9"/>
        </w:numPr>
        <w:spacing w:lineRule="auto" w:line="312" w:before="120" w:after="120"/>
        <w:contextualSpacing/>
        <w:jc w:val="both"/>
        <w:rPr>
          <w:rFonts w:ascii="Arial" w:hAnsi="Arial" w:cs="Arial"/>
          <w:vanish/>
        </w:rPr>
      </w:pPr>
      <w:r>
        <w:rPr>
          <w:rFonts w:cs="Arial" w:ascii="Arial" w:hAnsi="Arial"/>
          <w:vanish/>
        </w:rPr>
      </w:r>
    </w:p>
    <w:p>
      <w:pPr>
        <w:pStyle w:val="Nivel2"/>
        <w:numPr>
          <w:ilvl w:val="1"/>
          <w:numId w:val="47"/>
        </w:numPr>
        <w:spacing w:lineRule="auto" w:line="312" w:before="120" w:after="288"/>
        <w:ind w:left="0" w:firstLine="567"/>
        <w:rPr/>
      </w:pPr>
      <w:r>
        <w:rPr/>
        <w:t>Nas aferições finais, o(s) índice(s) utilizado(s) para reajuste será(ão), obrigatoriamente, o(s) definitivo(s).</w:t>
      </w:r>
    </w:p>
    <w:p>
      <w:pPr>
        <w:pStyle w:val="Nivel2"/>
        <w:numPr>
          <w:ilvl w:val="1"/>
          <w:numId w:val="48"/>
        </w:numPr>
        <w:spacing w:lineRule="auto" w:line="312" w:before="120" w:after="288"/>
        <w:ind w:left="0" w:firstLine="567"/>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49"/>
        </w:numPr>
        <w:spacing w:lineRule="auto" w:line="312" w:before="120" w:after="288"/>
        <w:ind w:left="0" w:firstLine="567"/>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50"/>
        </w:numPr>
        <w:spacing w:lineRule="auto" w:line="312" w:before="120" w:after="288"/>
        <w:ind w:left="0" w:firstLine="567"/>
        <w:rPr/>
      </w:pPr>
      <w:r>
        <w:rPr/>
        <w:t>O reajuste será realizado por apostilamento.</w:t>
      </w:r>
    </w:p>
    <w:p>
      <w:pPr>
        <w:pStyle w:val="Nivel01"/>
        <w:numPr>
          <w:ilvl w:val="0"/>
          <w:numId w:val="51"/>
        </w:numPr>
        <w:spacing w:lineRule="auto" w:line="312" w:before="120" w:after="288"/>
        <w:ind w:left="0" w:hanging="0"/>
        <w:rPr>
          <w:color w:val="FFFFFF" w:themeColor="background1"/>
        </w:rPr>
      </w:pPr>
      <w:r>
        <w:rPr/>
        <w:t xml:space="preserve">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r>
        <w:rPr/>
        <w:commentReference w:id="7"/>
      </w:r>
    </w:p>
    <w:p>
      <w:pPr>
        <w:pStyle w:val="Nivel2"/>
        <w:numPr>
          <w:ilvl w:val="1"/>
          <w:numId w:val="52"/>
        </w:numPr>
        <w:spacing w:lineRule="auto" w:line="312" w:before="120" w:after="288"/>
        <w:ind w:left="0" w:firstLine="567"/>
        <w:rPr>
          <w:b/>
          <w:b/>
          <w:bCs/>
        </w:rPr>
      </w:pPr>
      <w:r>
        <w:rPr/>
        <w:t>São obrigações do Contratante:</w:t>
      </w:r>
    </w:p>
    <w:p>
      <w:pPr>
        <w:pStyle w:val="Nivel2"/>
        <w:numPr>
          <w:ilvl w:val="1"/>
          <w:numId w:val="53"/>
        </w:numPr>
        <w:spacing w:lineRule="auto" w:line="312" w:before="120" w:after="288"/>
        <w:ind w:left="0" w:firstLine="567"/>
        <w:rPr/>
      </w:pPr>
      <w:r>
        <w:rPr/>
        <w:t>Exigir o cumprimento de todas as obrigações assumidas pelo Contratado, de acordo com o contrato e seus anexos;</w:t>
      </w:r>
    </w:p>
    <w:p>
      <w:pPr>
        <w:pStyle w:val="Nivel2"/>
        <w:numPr>
          <w:ilvl w:val="0"/>
          <w:numId w:val="0"/>
        </w:numPr>
        <w:spacing w:lineRule="auto" w:line="312" w:before="120" w:after="288"/>
        <w:ind w:left="0" w:hanging="0"/>
        <w:rPr>
          <w:highlight w:val="yellow"/>
        </w:rPr>
      </w:pPr>
      <w:r>
        <w:rPr/>
      </w:r>
    </w:p>
    <w:p>
      <w:pPr>
        <w:pStyle w:val="Nivel2"/>
        <w:numPr>
          <w:ilvl w:val="1"/>
          <w:numId w:val="54"/>
        </w:numPr>
        <w:spacing w:lineRule="auto" w:line="312" w:before="120" w:after="288"/>
        <w:ind w:left="0" w:firstLine="567"/>
        <w:rPr>
          <w:highlight w:val="yellow"/>
        </w:rPr>
      </w:pPr>
      <w:bookmarkStart w:id="2" w:name="_Hlk133591676"/>
      <w:r>
        <w:rPr>
          <w:shd w:fill="auto" w:val="clear"/>
        </w:rPr>
        <w:t>Receber</w:t>
      </w:r>
      <w:r>
        <w:rPr/>
        <w:t xml:space="preserve"> o objeto no p</w:t>
      </w:r>
      <w:r>
        <w:rPr>
          <w:shd w:fill="auto" w:val="clear"/>
        </w:rPr>
        <w:t>razo e condições estabelecidas no Termo de Referência ou Projeto Básico;</w:t>
      </w:r>
      <w:bookmarkEnd w:id="2"/>
    </w:p>
    <w:p>
      <w:pPr>
        <w:pStyle w:val="Nivel2"/>
        <w:numPr>
          <w:ilvl w:val="1"/>
          <w:numId w:val="55"/>
        </w:numPr>
        <w:spacing w:lineRule="auto" w:line="312" w:before="120" w:after="288"/>
        <w:ind w:left="0" w:firstLine="567"/>
        <w:rPr/>
      </w:pPr>
      <w:r>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pPr>
        <w:pStyle w:val="Nivel2"/>
        <w:numPr>
          <w:ilvl w:val="1"/>
          <w:numId w:val="56"/>
        </w:numPr>
        <w:spacing w:lineRule="auto" w:line="312" w:before="120" w:after="288"/>
        <w:ind w:left="0" w:firstLine="567"/>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57"/>
        </w:numPr>
        <w:spacing w:lineRule="auto" w:line="312" w:before="120" w:after="288"/>
        <w:ind w:left="0" w:firstLine="567"/>
        <w:rPr/>
      </w:pPr>
      <w:r>
        <w:rPr/>
        <w:t>Acompanhar e fiscalizar a execução do contrato e o cumprimento das obrigações pelo Contratado;</w:t>
      </w:r>
    </w:p>
    <w:p>
      <w:pPr>
        <w:pStyle w:val="Nivel2"/>
        <w:numPr>
          <w:ilvl w:val="1"/>
          <w:numId w:val="58"/>
        </w:numPr>
        <w:spacing w:lineRule="auto" w:line="312" w:before="120" w:after="288"/>
        <w:ind w:left="0" w:firstLine="567"/>
        <w:rPr/>
      </w:pPr>
      <w:r>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4">
        <w:r>
          <w:rPr>
            <w:rStyle w:val="LinkdaInternet"/>
          </w:rPr>
          <w:t>art. 143 da Lei nº 14.133, de 2021</w:t>
        </w:r>
      </w:hyperlink>
      <w:r>
        <w:rPr/>
        <w:t>;</w:t>
      </w:r>
    </w:p>
    <w:p>
      <w:pPr>
        <w:pStyle w:val="Nivel2"/>
        <w:numPr>
          <w:ilvl w:val="1"/>
          <w:numId w:val="59"/>
        </w:numPr>
        <w:spacing w:lineRule="auto" w:line="312" w:before="120" w:after="288"/>
        <w:ind w:left="0" w:firstLine="567"/>
        <w:rPr/>
      </w:pPr>
      <w:r>
        <w:rPr/>
        <w:t>Efetuar o pagamento ao Contratado do valor correspondente à execução do objeto, no prazo, forma e condições estabelecidos no presente Contrato e no Termo de Referência;</w:t>
      </w:r>
    </w:p>
    <w:p>
      <w:pPr>
        <w:pStyle w:val="Nivel2"/>
        <w:numPr>
          <w:ilvl w:val="1"/>
          <w:numId w:val="60"/>
        </w:numPr>
        <w:spacing w:lineRule="auto" w:line="312" w:before="120" w:after="288"/>
        <w:ind w:left="0" w:firstLine="567"/>
        <w:rPr/>
      </w:pPr>
      <w:r>
        <w:rPr/>
        <w:t xml:space="preserve">Aplicar ao Contratado as sanções previstas na lei e neste Contrato; </w:t>
      </w:r>
    </w:p>
    <w:p>
      <w:pPr>
        <w:pStyle w:val="Nivel2"/>
        <w:numPr>
          <w:ilvl w:val="1"/>
          <w:numId w:val="61"/>
        </w:numPr>
        <w:spacing w:lineRule="auto" w:line="312" w:before="120" w:after="288"/>
        <w:ind w:left="0" w:firstLine="567"/>
        <w:rPr/>
      </w:pPr>
      <w:r>
        <w:rPr/>
        <w:t>Cientificar o órgão de representação judicial da Advocacia-Geral da União para adoção das medidas cabíveis quando do descumprimento de obrigações pelo Contratado;</w:t>
      </w:r>
    </w:p>
    <w:p>
      <w:pPr>
        <w:pStyle w:val="Nivel2"/>
        <w:numPr>
          <w:ilvl w:val="1"/>
          <w:numId w:val="62"/>
        </w:numPr>
        <w:spacing w:lineRule="auto" w:line="312" w:before="120" w:after="288"/>
        <w:ind w:left="0" w:firstLine="567"/>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63"/>
        </w:numPr>
        <w:spacing w:lineRule="auto" w:line="312" w:before="120" w:after="288"/>
        <w:ind w:left="170" w:firstLine="709"/>
        <w:rPr>
          <w:b/>
          <w:b/>
          <w:bCs/>
        </w:rPr>
      </w:pPr>
      <w:r>
        <w:rPr/>
        <w:t xml:space="preserve"> </w:t>
      </w:r>
      <w:commentRangeStart w:id="8"/>
      <w:r>
        <w:rPr>
          <w:color w:val="000000"/>
        </w:rPr>
        <w:t>A Administração terá o prazo de</w:t>
      </w:r>
      <w:r>
        <w:rPr>
          <w:i/>
          <w:iCs/>
          <w:color w:val="000000"/>
        </w:rPr>
        <w:t xml:space="preserve"> </w:t>
      </w:r>
      <w:r>
        <w:rPr>
          <w:i/>
          <w:iCs/>
          <w:color w:val="000000"/>
        </w:rPr>
        <w:t>30 (trinta) dias</w:t>
      </w:r>
      <w:r>
        <w:rPr>
          <w:color w:val="000000"/>
        </w:rPr>
        <w:t xml:space="preserve">, a contar da data do protocolo do requerimento para decidir, admitida a prorrogação motivada, por igual período. </w:t>
      </w:r>
      <w:commentRangeEnd w:id="8"/>
      <w:r>
        <w:commentReference w:id="8"/>
      </w:r>
      <w:r>
        <w:rPr>
          <w:color w:val="000000"/>
        </w:rPr>
      </w:r>
    </w:p>
    <w:p>
      <w:pPr>
        <w:pStyle w:val="Nivel2"/>
        <w:numPr>
          <w:ilvl w:val="1"/>
          <w:numId w:val="64"/>
        </w:numPr>
        <w:spacing w:lineRule="auto" w:line="312" w:before="120" w:after="288"/>
        <w:ind w:left="0" w:firstLine="567"/>
        <w:rPr>
          <w:color w:val="FF0000"/>
        </w:rPr>
      </w:pPr>
      <w:commentRangeStart w:id="9"/>
      <w:r>
        <w:rPr/>
        <w:t xml:space="preserve">Responder eventuais pedidos de reestabelecimento do equilíbrio econômico-financeiro feitos pelo contratado no prazo máximo de </w:t>
      </w:r>
      <w:r>
        <w:rPr/>
        <w:t>30 (trinta) dias</w:t>
      </w:r>
      <w:r>
        <w:rPr>
          <w:color w:val="FF0000"/>
        </w:rPr>
        <w:t>.</w:t>
      </w:r>
      <w:commentRangeEnd w:id="9"/>
      <w:r>
        <w:commentReference w:id="9"/>
      </w:r>
      <w:r>
        <w:rPr>
          <w:color w:val="FF0000"/>
        </w:rPr>
      </w:r>
    </w:p>
    <w:p>
      <w:pPr>
        <w:pStyle w:val="Nvel2Red"/>
        <w:numPr>
          <w:ilvl w:val="1"/>
          <w:numId w:val="65"/>
        </w:numPr>
        <w:spacing w:lineRule="auto" w:line="312" w:before="120" w:after="288"/>
        <w:ind w:left="0" w:firstLine="567"/>
        <w:rPr>
          <w:color w:val="000000"/>
        </w:rPr>
      </w:pPr>
      <w:bookmarkStart w:id="3" w:name="_Hlk114499841"/>
      <w:bookmarkEnd w:id="3"/>
      <w:commentRangeStart w:id="10"/>
      <w:r>
        <w:rPr>
          <w:color w:val="000000"/>
        </w:rPr>
        <w:t>Notificar os emitentes das garantias quanto ao início de processo administrativo para apuração de descumprimento de cláusulas contratuais.</w:t>
      </w:r>
      <w:commentRangeEnd w:id="10"/>
      <w:r>
        <w:commentReference w:id="10"/>
      </w:r>
      <w:r>
        <w:rPr>
          <w:color w:val="000000"/>
        </w:rPr>
      </w:r>
    </w:p>
    <w:p>
      <w:pPr>
        <w:pStyle w:val="Nivel2"/>
        <w:numPr>
          <w:ilvl w:val="1"/>
          <w:numId w:val="66"/>
        </w:numPr>
        <w:spacing w:lineRule="auto" w:line="312" w:before="120" w:after="288"/>
        <w:ind w:left="0" w:firstLine="567"/>
        <w:rPr/>
      </w:pPr>
      <w:r>
        <w:rPr/>
        <w:t xml:space="preserve">Comunicar o Contratado na hipótese de posterior alteração do projeto pelo Contratante, no caso </w:t>
      </w:r>
      <w:r>
        <w:fldChar w:fldCharType="begin"/>
      </w:r>
      <w:r>
        <w:rPr>
          <w:rStyle w:val="LinkdaInternet"/>
        </w:rPr>
        <w:instrText xml:space="preserve">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67"/>
        </w:numPr>
        <w:ind w:left="0" w:firstLine="567"/>
        <w:rPr/>
      </w:pPr>
      <w:r>
        <w:rPr/>
        <w:t>Fornecer por escrito as informações necessárias para o desenvolvimento dos serviços objeto do contrato.</w:t>
      </w:r>
    </w:p>
    <w:p>
      <w:pPr>
        <w:pStyle w:val="Nivel2"/>
        <w:numPr>
          <w:ilvl w:val="1"/>
          <w:numId w:val="68"/>
        </w:numPr>
        <w:ind w:left="0" w:firstLine="567"/>
        <w:rPr/>
      </w:pPr>
      <w:r>
        <w:rPr/>
        <w:t>Realizar avaliações periódicas da qualidade dos serviços, após seu recebimento.</w:t>
      </w:r>
    </w:p>
    <w:p>
      <w:pPr>
        <w:pStyle w:val="Nivel2"/>
        <w:numPr>
          <w:ilvl w:val="1"/>
          <w:numId w:val="69"/>
        </w:numPr>
        <w:ind w:left="0" w:firstLine="567"/>
        <w:rPr>
          <w:color w:val="000000"/>
        </w:rPr>
      </w:pPr>
      <w:r>
        <w:rPr>
          <w:i/>
          <w:color w:val="000000"/>
        </w:rPr>
        <w:t>Exigir do Contratado que providencie a seguinte documentação como condição indispensável para o recebimento definitivo de objeto, quando for o caso:</w:t>
      </w:r>
    </w:p>
    <w:p>
      <w:pPr>
        <w:pStyle w:val="Nivel2"/>
        <w:numPr>
          <w:ilvl w:val="0"/>
          <w:numId w:val="10"/>
        </w:numPr>
        <w:ind w:left="924" w:firstLine="709"/>
        <w:rPr>
          <w:color w:val="000000"/>
        </w:rPr>
      </w:pPr>
      <w:r>
        <w:rPr>
          <w:i/>
          <w:color w:val="000000"/>
        </w:rPr>
        <w:t>"as built", elaborado pelo responsável por sua execução;</w:t>
      </w:r>
    </w:p>
    <w:p>
      <w:pPr>
        <w:pStyle w:val="Nivel2"/>
        <w:numPr>
          <w:ilvl w:val="0"/>
          <w:numId w:val="10"/>
        </w:numPr>
        <w:ind w:left="924" w:firstLine="709"/>
        <w:rPr>
          <w:color w:val="000000"/>
        </w:rPr>
      </w:pPr>
      <w:r>
        <w:rPr>
          <w:i/>
          <w:color w:val="000000"/>
        </w:rPr>
        <w:t>comprovação das ligações definitivas de energia, água, telefone e gás;</w:t>
      </w:r>
    </w:p>
    <w:p>
      <w:pPr>
        <w:pStyle w:val="Nivel2"/>
        <w:numPr>
          <w:ilvl w:val="0"/>
          <w:numId w:val="10"/>
        </w:numPr>
        <w:ind w:left="924" w:firstLine="709"/>
        <w:rPr>
          <w:color w:val="000000"/>
        </w:rPr>
      </w:pPr>
      <w:r>
        <w:rPr>
          <w:i/>
          <w:color w:val="000000"/>
        </w:rPr>
        <w:t>laudo de vistoria do corpo de bombeiros aprovando o serviço;</w:t>
      </w:r>
    </w:p>
    <w:p>
      <w:pPr>
        <w:pStyle w:val="Nivel2"/>
        <w:numPr>
          <w:ilvl w:val="0"/>
          <w:numId w:val="10"/>
        </w:numPr>
        <w:ind w:left="924" w:firstLine="709"/>
        <w:rPr>
          <w:color w:val="000000"/>
        </w:rPr>
      </w:pPr>
      <w:r>
        <w:rPr>
          <w:i/>
          <w:color w:val="000000"/>
        </w:rPr>
        <w:t>carta "habite-se", emitida pela prefeitura; e</w:t>
      </w:r>
    </w:p>
    <w:p>
      <w:pPr>
        <w:pStyle w:val="Nivel2"/>
        <w:numPr>
          <w:ilvl w:val="0"/>
          <w:numId w:val="10"/>
        </w:numPr>
        <w:ind w:left="924" w:firstLine="709"/>
        <w:rPr>
          <w:color w:val="000000"/>
        </w:rPr>
      </w:pPr>
      <w:r>
        <w:rPr>
          <w:i/>
          <w:color w:val="000000"/>
        </w:rPr>
        <w:t>certidão negativa de débitos previdenciários específica para o registro da obra junto ao Cartório de Registro de Imóveis;</w:t>
      </w:r>
    </w:p>
    <w:p>
      <w:pPr>
        <w:pStyle w:val="Nivel2"/>
        <w:numPr>
          <w:ilvl w:val="1"/>
          <w:numId w:val="70"/>
        </w:numPr>
        <w:spacing w:before="120" w:after="288"/>
        <w:ind w:left="0" w:firstLine="567"/>
        <w:rPr>
          <w:color w:val="000000"/>
        </w:rPr>
      </w:pPr>
      <w:r>
        <w:rPr>
          <w:i/>
          <w:color w:val="000000"/>
        </w:rPr>
        <w:t>Arquivar, entre outros documentos, de projetos, "as built", especificações técnicas, orçamentos, termos de recebimento, contratos e aditamentos, relatórios de inspeções técnicas após o recebimento do serviço e notificações expedidas.</w:t>
      </w:r>
    </w:p>
    <w:p>
      <w:pPr>
        <w:pStyle w:val="Nivel2"/>
        <w:numPr>
          <w:ilvl w:val="1"/>
          <w:numId w:val="71"/>
        </w:numPr>
        <w:spacing w:before="120" w:after="288"/>
        <w:ind w:left="0" w:firstLine="567"/>
        <w:rPr/>
      </w:pPr>
      <w:r>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Nivel2"/>
        <w:numPr>
          <w:ilvl w:val="1"/>
          <w:numId w:val="72"/>
        </w:numPr>
        <w:spacing w:before="120" w:after="288"/>
        <w:ind w:left="0" w:firstLine="567"/>
        <w:rPr/>
      </w:pPr>
      <w:r>
        <w:rPr/>
        <w:t>Não responder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1"/>
          <w:numId w:val="73"/>
        </w:numPr>
        <w:spacing w:before="120" w:after="288"/>
        <w:ind w:left="0" w:firstLine="567"/>
        <w:rPr/>
      </w:pPr>
      <w:r>
        <w:rPr/>
        <w:t>Previamente à expedição da ordem de serviço, verificar pendências, liberar áreas e/ou adotar providências cabíveis para a regularidade do início da sua execução.</w:t>
      </w:r>
    </w:p>
    <w:p>
      <w:pPr>
        <w:pStyle w:val="Nivel01"/>
        <w:numPr>
          <w:ilvl w:val="0"/>
          <w:numId w:val="74"/>
        </w:numPr>
        <w:spacing w:lineRule="auto" w:line="312" w:before="120" w:after="288"/>
        <w:ind w:left="0" w:hanging="0"/>
        <w:rPr>
          <w:color w:val="FFFFFF" w:themeColor="background1"/>
        </w:rPr>
      </w:pPr>
      <w:commentRangeStart w:id="11"/>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commentRangeEnd w:id="11"/>
      <w:r>
        <w:commentReference w:id="11"/>
      </w:r>
      <w:r>
        <w:rPr/>
      </w:r>
    </w:p>
    <w:p>
      <w:pPr>
        <w:pStyle w:val="Nivel2"/>
        <w:numPr>
          <w:ilvl w:val="1"/>
          <w:numId w:val="75"/>
        </w:numPr>
        <w:spacing w:lineRule="auto" w:line="312" w:before="120" w:after="288"/>
        <w:ind w:left="0" w:firstLine="567"/>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76"/>
        </w:numPr>
        <w:spacing w:lineRule="auto" w:line="312" w:before="120" w:after="288"/>
        <w:ind w:left="0" w:firstLine="567"/>
        <w:rPr/>
      </w:pPr>
      <w:r>
        <w:rPr/>
        <w:t>Manter preposto aceito pela Administração no local do serviço para representá-lo na execução do contrato.</w:t>
      </w:r>
    </w:p>
    <w:p>
      <w:pPr>
        <w:pStyle w:val="Nivel3"/>
        <w:numPr>
          <w:ilvl w:val="2"/>
          <w:numId w:val="77"/>
        </w:numPr>
        <w:spacing w:lineRule="auto" w:line="312" w:before="120" w:after="288"/>
        <w:ind w:left="170" w:firstLine="709"/>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78"/>
        </w:numPr>
        <w:spacing w:lineRule="auto" w:line="312" w:before="120" w:after="288"/>
        <w:ind w:left="0" w:firstLine="567"/>
        <w:rPr/>
      </w:pPr>
      <w:r>
        <w:rPr/>
        <w:t>Atender às determinações regulares emitidas pelo fiscal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w:t>
      </w:r>
      <w:r>
        <w:rPr>
          <w:color w:val="000000" w:themeColor="text1"/>
        </w:rPr>
        <w:t xml:space="preserve"> e </w:t>
      </w:r>
      <w:r>
        <w:rPr/>
        <w:t>prestar todo esclarecimento ou informação por eles solicitados;</w:t>
      </w:r>
    </w:p>
    <w:p>
      <w:pPr>
        <w:pStyle w:val="Nivel2"/>
        <w:numPr>
          <w:ilvl w:val="1"/>
          <w:numId w:val="79"/>
        </w:numPr>
        <w:spacing w:lineRule="auto" w:line="312" w:before="120" w:after="288"/>
        <w:ind w:left="0" w:firstLine="567"/>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80"/>
        </w:numPr>
        <w:spacing w:lineRule="auto" w:line="312" w:before="120" w:after="288"/>
        <w:ind w:left="0" w:firstLine="567"/>
        <w:rPr/>
      </w:pPr>
      <w:commentRangeStart w:id="12"/>
      <w:r>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2"/>
      <w:r>
        <w:commentReference w:id="12"/>
      </w:r>
      <w:r>
        <w:rPr/>
      </w:r>
    </w:p>
    <w:p>
      <w:pPr>
        <w:pStyle w:val="Nivel2"/>
        <w:numPr>
          <w:ilvl w:val="1"/>
          <w:numId w:val="81"/>
        </w:numPr>
        <w:spacing w:lineRule="auto" w:line="312" w:before="120" w:after="288"/>
        <w:ind w:left="0" w:firstLine="567"/>
        <w:rPr/>
      </w:pPr>
      <w:r>
        <w:rPr/>
        <w:t xml:space="preserve">Responsabilizar-se pelos vícios e danos decorrentes da execução do objeto, de acordo com o </w:t>
      </w:r>
      <w:hyperlink r:id="rId5">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82"/>
        </w:numPr>
        <w:spacing w:lineRule="auto" w:line="312" w:before="120" w:after="288"/>
        <w:ind w:left="0" w:firstLine="567"/>
        <w:rPr/>
      </w:pPr>
      <w:r>
        <w:rPr/>
        <w:t xml:space="preserve">Efetuar comunicação ao Contratante, assim que tiver ciência da impossibilidade de realização ou finalização do serviço no prazo estabelecido, para adoção de ações de contingência cabíveis. </w:t>
      </w:r>
    </w:p>
    <w:p>
      <w:pPr>
        <w:pStyle w:val="Nivel2"/>
        <w:numPr>
          <w:ilvl w:val="1"/>
          <w:numId w:val="83"/>
        </w:numPr>
        <w:spacing w:lineRule="auto" w:line="312" w:before="120" w:after="288"/>
        <w:ind w:left="0" w:firstLine="567"/>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xml:space="preserve">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84"/>
        </w:numPr>
        <w:spacing w:lineRule="auto" w:line="312" w:before="120" w:after="288"/>
        <w:ind w:left="0" w:firstLine="567"/>
        <w:rPr/>
      </w:pPr>
      <w:r>
        <w:rPr>
          <w:color w:val="000000" w:themeColor="text1"/>
        </w:rPr>
        <w:t>Q</w:t>
      </w:r>
      <w:commentRangeStart w:id="13"/>
      <w:r>
        <w:rPr>
          <w:color w:val="000000" w:themeColor="text1"/>
        </w:rPr>
        <w:t xml:space="preserve">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3"/>
      <w:r>
        <w:commentReference w:id="13"/>
      </w:r>
      <w:r>
        <w:rPr/>
      </w:r>
    </w:p>
    <w:p>
      <w:pPr>
        <w:pStyle w:val="Nivel2"/>
        <w:numPr>
          <w:ilvl w:val="1"/>
          <w:numId w:val="85"/>
        </w:numPr>
        <w:spacing w:lineRule="auto" w:line="312" w:before="120" w:after="288"/>
        <w:ind w:left="0" w:firstLine="567"/>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86"/>
        </w:numPr>
        <w:spacing w:lineRule="auto" w:line="312" w:before="120" w:after="288"/>
        <w:ind w:left="0" w:firstLine="567"/>
        <w:rPr/>
      </w:pPr>
      <w:r>
        <w:rPr/>
        <w:t>Comunicar ao Fiscal do contrato, no prazo de 24 (vinte e quatro) horas, qualquer ocorrência anormal ou acidente que se verifique no local dos serviços.</w:t>
      </w:r>
    </w:p>
    <w:p>
      <w:pPr>
        <w:pStyle w:val="Nivel2"/>
        <w:numPr>
          <w:ilvl w:val="1"/>
          <w:numId w:val="87"/>
        </w:numPr>
        <w:spacing w:lineRule="auto" w:line="312" w:before="120" w:after="288"/>
        <w:ind w:left="0" w:firstLine="567"/>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88"/>
        </w:numPr>
        <w:spacing w:lineRule="auto" w:line="312" w:before="120" w:after="288"/>
        <w:ind w:left="0" w:firstLine="567"/>
        <w:rPr/>
      </w:pPr>
      <w:r>
        <w:rPr/>
        <w:t>Paralisar, por determinação do Contratante, qualquer atividade que não esteja sendo executada de acordo com a boa técnica ou que ponha em risco a segurança de pessoas ou bens de terceiros.</w:t>
      </w:r>
    </w:p>
    <w:p>
      <w:pPr>
        <w:pStyle w:val="Nivel2"/>
        <w:numPr>
          <w:ilvl w:val="1"/>
          <w:numId w:val="89"/>
        </w:numPr>
        <w:spacing w:lineRule="auto" w:line="312" w:before="120" w:after="288"/>
        <w:ind w:left="0" w:firstLine="567"/>
        <w:rPr/>
      </w:pPr>
      <w:r>
        <w:rPr/>
        <w:t>Promover a guarda, manutenção e vigilância de materiais, ferramentas, e tudo o que for necessário à execução do objeto, durante a vigência do contrato.</w:t>
      </w:r>
    </w:p>
    <w:p>
      <w:pPr>
        <w:pStyle w:val="Nivel2"/>
        <w:numPr>
          <w:ilvl w:val="1"/>
          <w:numId w:val="90"/>
        </w:numPr>
        <w:spacing w:lineRule="auto" w:line="312" w:before="120" w:after="288"/>
        <w:ind w:left="0" w:firstLine="567"/>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91"/>
        </w:numPr>
        <w:spacing w:lineRule="auto" w:line="312" w:before="120" w:after="288"/>
        <w:ind w:left="0" w:firstLine="567"/>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92"/>
        </w:numPr>
        <w:spacing w:lineRule="auto" w:line="312" w:before="120" w:after="288"/>
        <w:ind w:left="0" w:firstLine="567"/>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93"/>
        </w:numPr>
        <w:spacing w:lineRule="auto" w:line="312" w:before="120" w:after="288"/>
        <w:ind w:left="0" w:firstLine="567"/>
        <w:rPr/>
      </w:pPr>
      <w:r>
        <w:rPr/>
        <w:t xml:space="preserve"> </w:t>
      </w:r>
      <w:r>
        <w:rPr>
          <w:shd w:fill="auto" w:val="clear"/>
        </w:rPr>
        <w:t xml:space="preserve">Manter durante toda a vigência do contrato, em compatibilidade com as obrigações assumidas, todas as condições exigidas para </w:t>
      </w:r>
      <w:r>
        <w:rPr>
          <w:rStyle w:val="Normaltextrun"/>
          <w:shd w:fill="auto" w:val="clear"/>
        </w:rPr>
        <w:t>qualificação na contratação direta;</w:t>
      </w:r>
      <w:r>
        <w:rPr/>
        <w:t xml:space="preserve"> </w:t>
      </w:r>
    </w:p>
    <w:p>
      <w:pPr>
        <w:pStyle w:val="Nivel2"/>
        <w:numPr>
          <w:ilvl w:val="1"/>
          <w:numId w:val="94"/>
        </w:numPr>
        <w:spacing w:lineRule="auto" w:line="312" w:before="120" w:after="288"/>
        <w:ind w:left="0" w:firstLine="567"/>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numPr>
          <w:ilvl w:val="1"/>
          <w:numId w:val="95"/>
        </w:numPr>
        <w:spacing w:lineRule="auto" w:line="312" w:before="120" w:after="288"/>
        <w:ind w:left="0" w:firstLine="567"/>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numPr>
          <w:ilvl w:val="1"/>
          <w:numId w:val="96"/>
        </w:numPr>
        <w:spacing w:lineRule="auto" w:line="312" w:before="120" w:after="288"/>
        <w:ind w:left="0" w:firstLine="567"/>
        <w:rPr/>
      </w:pPr>
      <w:r>
        <w:rPr/>
        <w:t>Guardar sigilo sobre todas as informações obtidas em decorrência do cumprimento do contrato;</w:t>
      </w:r>
    </w:p>
    <w:p>
      <w:pPr>
        <w:pStyle w:val="Nivel2"/>
        <w:numPr>
          <w:ilvl w:val="1"/>
          <w:numId w:val="97"/>
        </w:numPr>
        <w:spacing w:lineRule="auto" w:line="312" w:before="120" w:after="288"/>
        <w:ind w:left="0" w:firstLine="567"/>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numPr>
          <w:ilvl w:val="1"/>
          <w:numId w:val="98"/>
        </w:numPr>
        <w:spacing w:lineRule="auto" w:line="312" w:before="120" w:after="288"/>
        <w:ind w:left="0" w:firstLine="567"/>
        <w:rPr/>
      </w:pPr>
      <w:r>
        <w:rPr/>
        <w:t>Cumprir, além dos postulados legais vigentes de âmbito federal, estadual ou municipal, as normas de segurança do Contratante;</w:t>
      </w:r>
    </w:p>
    <w:p>
      <w:pPr>
        <w:pStyle w:val="Nivel2"/>
        <w:numPr>
          <w:ilvl w:val="1"/>
          <w:numId w:val="99"/>
        </w:numPr>
        <w:spacing w:lineRule="auto" w:line="312" w:before="120" w:after="288"/>
        <w:ind w:left="0" w:firstLine="567"/>
        <w:rPr>
          <w:color w:val="000000"/>
        </w:rPr>
      </w:pPr>
      <w:r>
        <w:rPr>
          <w:i/>
          <w:iCs/>
          <w:color w:val="000000"/>
        </w:rPr>
        <w:t>Realizar os serviços de manutenção e assistência técnica no(s) seguinte(s) local(is):  Estrada Parque Acampamento S/N, no Setor Militar Complementar, Brasília-DF, CEP 70.631-901</w:t>
      </w:r>
    </w:p>
    <w:p>
      <w:pPr>
        <w:pStyle w:val="Nivel3"/>
        <w:numPr>
          <w:ilvl w:val="0"/>
          <w:numId w:val="0"/>
        </w:numPr>
        <w:spacing w:lineRule="auto" w:line="312" w:before="120" w:after="288"/>
        <w:ind w:left="170" w:hanging="0"/>
        <w:rPr>
          <w:i/>
          <w:i/>
          <w:iCs/>
          <w:color w:val="FF0000"/>
        </w:rPr>
      </w:pPr>
      <w:r>
        <w:rPr/>
      </w:r>
    </w:p>
    <w:p>
      <w:pPr>
        <w:pStyle w:val="Nivel2"/>
        <w:numPr>
          <w:ilvl w:val="1"/>
          <w:numId w:val="100"/>
        </w:numPr>
        <w:spacing w:lineRule="auto" w:line="312" w:before="120" w:after="288"/>
        <w:ind w:left="0" w:firstLine="567"/>
        <w:rPr>
          <w:color w:val="000000"/>
        </w:rPr>
      </w:pPr>
      <w:commentRangeStart w:id="14"/>
      <w:r>
        <w:rPr>
          <w:i/>
          <w:iCs/>
          <w:color w:val="00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ivel2"/>
        <w:numPr>
          <w:ilvl w:val="1"/>
          <w:numId w:val="101"/>
        </w:numPr>
        <w:spacing w:lineRule="auto" w:line="312" w:before="120" w:after="288"/>
        <w:ind w:left="0" w:firstLine="567"/>
        <w:rPr>
          <w:color w:val="000000"/>
        </w:rPr>
      </w:pPr>
      <w:r>
        <w:rPr>
          <w:i/>
          <w:iCs/>
          <w:color w:val="000000"/>
        </w:rPr>
        <w:t>Ceder ao Contratante todos os direitos patrimoniais relativos ao objeto contratado, o qual poderá ser livremente utilizado e/ou alterado em outras ocasiões, sem necessidade de nova autorização do Contratado.</w:t>
      </w:r>
      <w:commentRangeEnd w:id="14"/>
      <w:r>
        <w:commentReference w:id="14"/>
      </w:r>
      <w:r>
        <w:rPr>
          <w:i/>
          <w:iCs/>
          <w:color w:val="000000"/>
        </w:rPr>
      </w:r>
    </w:p>
    <w:p>
      <w:pPr>
        <w:pStyle w:val="Nivel3"/>
        <w:numPr>
          <w:ilvl w:val="2"/>
          <w:numId w:val="102"/>
        </w:numPr>
        <w:spacing w:lineRule="auto" w:line="312" w:before="120" w:after="288"/>
        <w:ind w:left="170" w:firstLine="709"/>
        <w:rPr>
          <w:color w:val="000000"/>
        </w:rPr>
      </w:pPr>
      <w:r>
        <w:rPr>
          <w:i/>
          <w:iCs/>
          <w:color w:val="00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2"/>
        <w:numPr>
          <w:ilvl w:val="1"/>
          <w:numId w:val="103"/>
        </w:numPr>
        <w:spacing w:lineRule="auto" w:line="312" w:before="120" w:after="288"/>
        <w:ind w:left="0" w:firstLine="567"/>
        <w:rPr/>
      </w:pPr>
      <w:r>
        <w:rPr/>
        <w:t>Manter os empregados nos horários predeterminados pelo Contratante.</w:t>
      </w:r>
    </w:p>
    <w:p>
      <w:pPr>
        <w:pStyle w:val="Nivel2"/>
        <w:numPr>
          <w:ilvl w:val="1"/>
          <w:numId w:val="104"/>
        </w:numPr>
        <w:spacing w:lineRule="auto" w:line="312" w:before="120" w:after="288"/>
        <w:ind w:left="0" w:firstLine="567"/>
        <w:rPr/>
      </w:pPr>
      <w:r>
        <w:rPr/>
        <w:t>Apresentar os empregados devidamente identificados por meio de crachá.</w:t>
      </w:r>
    </w:p>
    <w:p>
      <w:pPr>
        <w:pStyle w:val="Nivel2"/>
        <w:numPr>
          <w:ilvl w:val="1"/>
          <w:numId w:val="105"/>
        </w:numPr>
        <w:spacing w:lineRule="auto" w:line="312" w:before="120" w:after="288"/>
        <w:ind w:left="0" w:firstLine="567"/>
        <w:rPr/>
      </w:pPr>
      <w:r>
        <w:rPr/>
        <w:t>Apresentar ao Contratante, quando for o caso, a relação nominal dos empregados que adentrarão no órgão para a execução do serviço.</w:t>
      </w:r>
    </w:p>
    <w:p>
      <w:pPr>
        <w:pStyle w:val="Nivel2"/>
        <w:numPr>
          <w:ilvl w:val="1"/>
          <w:numId w:val="106"/>
        </w:numPr>
        <w:spacing w:lineRule="auto" w:line="312" w:before="120" w:after="288"/>
        <w:ind w:left="0" w:firstLine="567"/>
        <w:rPr/>
      </w:pPr>
      <w:r>
        <w:rPr/>
        <w:t>Observar os preceitos da legislação sobre a jornada de trabalho, conforme a categoria profissional.</w:t>
      </w:r>
    </w:p>
    <w:p>
      <w:pPr>
        <w:pStyle w:val="Nivel2"/>
        <w:numPr>
          <w:ilvl w:val="1"/>
          <w:numId w:val="107"/>
        </w:numPr>
        <w:spacing w:lineRule="auto" w:line="312" w:before="120" w:after="288"/>
        <w:ind w:left="0" w:firstLine="567"/>
        <w:rPr/>
      </w:pPr>
      <w:r>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pPr>
        <w:pStyle w:val="Nivel2"/>
        <w:numPr>
          <w:ilvl w:val="1"/>
          <w:numId w:val="108"/>
        </w:numPr>
        <w:spacing w:lineRule="auto" w:line="312" w:before="120" w:after="288"/>
        <w:ind w:left="0" w:firstLine="567"/>
        <w:rPr/>
      </w:pPr>
      <w:r>
        <w:rPr/>
        <w:t>Instruir seus empregados quanto à necessidade de acatar as Normas Internas do Contratante.</w:t>
      </w:r>
    </w:p>
    <w:p>
      <w:pPr>
        <w:pStyle w:val="Nivel2"/>
        <w:numPr>
          <w:ilvl w:val="1"/>
          <w:numId w:val="109"/>
        </w:numPr>
        <w:spacing w:lineRule="auto" w:line="312" w:before="120" w:after="288"/>
        <w:ind w:left="0" w:firstLine="567"/>
        <w:rPr/>
      </w:pPr>
      <w:r>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pPr>
        <w:pStyle w:val="Nivel2"/>
        <w:numPr>
          <w:ilvl w:val="1"/>
          <w:numId w:val="110"/>
        </w:numPr>
        <w:spacing w:lineRule="auto" w:line="312" w:before="120" w:after="288"/>
        <w:ind w:left="0" w:firstLine="567"/>
        <w:rPr/>
      </w:pPr>
      <w:r>
        <w:rPr/>
        <w:t>Instruir os seus empregados, quanto à prevenção de incêndios nas áreas do Contratante.</w:t>
      </w:r>
    </w:p>
    <w:p>
      <w:pPr>
        <w:pStyle w:val="Nivel2"/>
        <w:numPr>
          <w:ilvl w:val="1"/>
          <w:numId w:val="111"/>
        </w:numPr>
        <w:spacing w:lineRule="auto" w:line="312" w:before="120" w:after="288"/>
        <w:ind w:left="0" w:firstLine="567"/>
        <w:rPr/>
      </w:pPr>
      <w:r>
        <w:rPr/>
        <w:t>Adotar as providências e precauções necessárias, inclusive consulta nos respectivos órgãos, se necessário for, a fim de que não venham a ser danificadas as redes hidrossanitárias, elétricas e de comunicação.</w:t>
      </w:r>
    </w:p>
    <w:p>
      <w:pPr>
        <w:pStyle w:val="Nivel2"/>
        <w:numPr>
          <w:ilvl w:val="1"/>
          <w:numId w:val="112"/>
        </w:numPr>
        <w:spacing w:lineRule="auto" w:line="312" w:before="120" w:after="288"/>
        <w:ind w:left="0" w:firstLine="567"/>
        <w:rPr>
          <w:rFonts w:eastAsia="Calibri"/>
          <w:i/>
          <w:i/>
          <w:iCs/>
          <w:lang w:eastAsia="en-US"/>
        </w:rPr>
      </w:pPr>
      <w:commentRangeStart w:id="15"/>
      <w:r>
        <w:rPr/>
        <w:t>Estar registrada ou inscrita no Conselho Profissional competente, conforme as áreas de atuação previstas no Termo de Referência, em plena validade.</w:t>
      </w:r>
      <w:commentRangeEnd w:id="15"/>
      <w:r>
        <w:commentReference w:id="15"/>
      </w:r>
      <w:r>
        <w:rPr/>
      </w:r>
    </w:p>
    <w:p>
      <w:pPr>
        <w:pStyle w:val="Nivel2"/>
        <w:numPr>
          <w:ilvl w:val="1"/>
          <w:numId w:val="113"/>
        </w:numPr>
        <w:spacing w:lineRule="auto" w:line="312" w:before="120" w:after="288"/>
        <w:ind w:left="0" w:firstLine="567"/>
        <w:rPr/>
      </w:pPr>
      <w:r>
        <w:rPr/>
        <w:t>Obter junto aos órgãos competentes, conforme o caso, as licenças necessárias e demais documentos e autorizações exigíveis, na forma da legislação aplicável.</w:t>
      </w:r>
    </w:p>
    <w:p>
      <w:pPr>
        <w:pStyle w:val="Nivel2"/>
        <w:numPr>
          <w:ilvl w:val="1"/>
          <w:numId w:val="114"/>
        </w:numPr>
        <w:spacing w:lineRule="auto" w:line="312" w:before="120" w:after="288"/>
        <w:ind w:left="0" w:firstLine="567"/>
        <w:rPr/>
      </w:pPr>
      <w:r>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ivel2"/>
        <w:numPr>
          <w:ilvl w:val="1"/>
          <w:numId w:val="115"/>
        </w:numPr>
        <w:spacing w:lineRule="auto" w:line="312" w:before="120" w:after="288"/>
        <w:ind w:left="0" w:firstLine="567"/>
        <w:rPr/>
      </w:pPr>
      <w:r>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pPr>
        <w:pStyle w:val="Nivel2"/>
        <w:numPr>
          <w:ilvl w:val="1"/>
          <w:numId w:val="116"/>
        </w:numPr>
        <w:spacing w:lineRule="auto" w:line="312" w:before="120" w:after="288"/>
        <w:ind w:left="0" w:firstLine="567"/>
        <w:rPr/>
      </w:pPr>
      <w:r>
        <w:rPr/>
        <w:t xml:space="preserve">Utilizar somente matéria-prima florestal procedente, nos termos do </w:t>
      </w:r>
      <w:r>
        <w:fldChar w:fldCharType="begin"/>
      </w:r>
      <w:r>
        <w:rPr>
          <w:rStyle w:val="LinkdaInternet"/>
        </w:rPr>
        <w:instrText xml:space="preserve"> HYPERLINK "http://www.planalto.gov.br/ccivil_03/_ato2004-2006/2006/decreto/d5975.htm" \l "art11"</w:instrText>
      </w:r>
      <w:r>
        <w:rPr>
          <w:rStyle w:val="LinkdaInternet"/>
        </w:rPr>
        <w:fldChar w:fldCharType="separate"/>
      </w:r>
      <w:r>
        <w:rPr>
          <w:rStyle w:val="LinkdaInternet"/>
        </w:rPr>
        <w:t>artigo 11 do Decreto n° 5.975, de 2006</w:t>
      </w:r>
      <w:r>
        <w:rPr>
          <w:rStyle w:val="LinkdaInternet"/>
        </w:rPr>
        <w:fldChar w:fldCharType="end"/>
      </w:r>
      <w:r>
        <w:rPr/>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ivel2"/>
        <w:numPr>
          <w:ilvl w:val="1"/>
          <w:numId w:val="117"/>
        </w:numPr>
        <w:spacing w:lineRule="auto" w:line="312" w:before="120" w:after="288"/>
        <w:ind w:left="0" w:firstLine="567"/>
        <w:rPr/>
      </w:pPr>
      <w:r>
        <w:rPr/>
        <w:t xml:space="preserve">Comprovar a procedência legal dos produtos ou subprodutos florestais utilizados em cada etapa da execução contratual, nos termos do </w:t>
      </w:r>
      <w:hyperlink r:id="rId6">
        <w:r>
          <w:rPr>
            <w:rStyle w:val="LinkdaInternet"/>
          </w:rPr>
          <w:t>artigo 4°, inciso IX, da Instrução Normativa SLTI/MP n° 1, de 19/01/2010</w:t>
        </w:r>
      </w:hyperlink>
      <w:r>
        <w:rPr/>
        <w:t xml:space="preserve">, por ocasião da respectiva medição, mediante a apresentação dos seguintes documentos, conforme o caso: </w:t>
      </w:r>
    </w:p>
    <w:p>
      <w:pPr>
        <w:pStyle w:val="ListParagraph"/>
        <w:numPr>
          <w:ilvl w:val="2"/>
          <w:numId w:val="11"/>
        </w:numPr>
        <w:spacing w:lineRule="auto" w:line="312" w:before="120" w:after="288"/>
        <w:ind w:left="170" w:firstLine="709"/>
        <w:contextualSpacing w:val="false"/>
        <w:jc w:val="both"/>
        <w:rPr>
          <w:rFonts w:ascii="Arial" w:hAnsi="Arial" w:eastAsia="Calibri" w:cs="Arial"/>
          <w:sz w:val="20"/>
          <w:szCs w:val="20"/>
          <w:lang w:eastAsia="en-US"/>
        </w:rPr>
      </w:pPr>
      <w:r>
        <w:rPr>
          <w:rFonts w:eastAsia="Calibri" w:cs="Arial" w:ascii="Arial" w:hAnsi="Arial"/>
          <w:sz w:val="20"/>
          <w:szCs w:val="20"/>
          <w:lang w:eastAsia="en-US"/>
        </w:rPr>
        <w:t xml:space="preserve">Cópias autenticadas das notas fiscais de aquisição dos produtos ou subprodutos florestais; </w:t>
      </w:r>
    </w:p>
    <w:p>
      <w:pPr>
        <w:pStyle w:val="ListParagraph"/>
        <w:numPr>
          <w:ilvl w:val="2"/>
          <w:numId w:val="11"/>
        </w:numPr>
        <w:spacing w:lineRule="auto" w:line="312" w:before="120" w:after="288"/>
        <w:ind w:left="170" w:firstLine="709"/>
        <w:contextualSpacing w:val="false"/>
        <w:jc w:val="both"/>
        <w:rPr>
          <w:rFonts w:ascii="Arial" w:hAnsi="Arial" w:eastAsia="Calibri" w:cs="Arial"/>
          <w:sz w:val="20"/>
          <w:szCs w:val="20"/>
          <w:lang w:eastAsia="en-US"/>
        </w:rPr>
      </w:pPr>
      <w:bookmarkStart w:id="4" w:name="_Hlk133591743"/>
      <w:r>
        <w:rPr>
          <w:rFonts w:eastAsia="Calibri" w:cs="Arial" w:ascii="Arial" w:hAnsi="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fldChar w:fldCharType="begin"/>
      </w:r>
      <w:r>
        <w:rPr>
          <w:rStyle w:val="LinkdaInternet"/>
          <w:sz w:val="20"/>
          <w:szCs w:val="20"/>
          <w:rFonts w:eastAsia="Calibri" w:cs="Arial" w:ascii="Arial" w:hAnsi="Arial"/>
          <w:lang w:eastAsia="en-US"/>
        </w:rPr>
        <w:instrText xml:space="preserve"> HYPERLINK "https://www.planalto.gov.br/ccivil_03/leis/l6938.htm" \l "art17"</w:instrText>
      </w:r>
      <w:r>
        <w:rPr>
          <w:rStyle w:val="LinkdaInternet"/>
          <w:sz w:val="20"/>
          <w:szCs w:val="20"/>
          <w:rFonts w:eastAsia="Calibri" w:cs="Arial" w:ascii="Arial" w:hAnsi="Arial"/>
          <w:lang w:eastAsia="en-US"/>
        </w:rPr>
        <w:fldChar w:fldCharType="separate"/>
      </w:r>
      <w:r>
        <w:rPr>
          <w:rStyle w:val="LinkdaInternet"/>
          <w:rFonts w:eastAsia="Calibri" w:cs="Arial" w:ascii="Arial" w:hAnsi="Arial"/>
          <w:sz w:val="20"/>
          <w:szCs w:val="20"/>
          <w:lang w:eastAsia="en-US"/>
        </w:rPr>
        <w:t>artigo 17, inciso II, da Lei n° 6.938, de 1981</w:t>
      </w:r>
      <w:r>
        <w:rPr>
          <w:rStyle w:val="LinkdaInternet"/>
          <w:sz w:val="20"/>
          <w:szCs w:val="20"/>
          <w:rFonts w:eastAsia="Calibri" w:cs="Arial" w:ascii="Arial" w:hAnsi="Arial"/>
          <w:lang w:eastAsia="en-US"/>
        </w:rPr>
        <w:fldChar w:fldCharType="end"/>
      </w:r>
      <w:r>
        <w:rPr>
          <w:rFonts w:eastAsia="Calibri" w:cs="Arial" w:ascii="Arial" w:hAnsi="Arial"/>
          <w:sz w:val="20"/>
          <w:szCs w:val="20"/>
          <w:lang w:eastAsia="en-US"/>
        </w:rPr>
        <w:t xml:space="preserve"> e legislação correlata;</w:t>
      </w:r>
      <w:bookmarkEnd w:id="4"/>
    </w:p>
    <w:p>
      <w:pPr>
        <w:pStyle w:val="ListParagraph"/>
        <w:numPr>
          <w:ilvl w:val="2"/>
          <w:numId w:val="11"/>
        </w:numPr>
        <w:spacing w:lineRule="auto" w:line="312" w:before="120" w:after="288"/>
        <w:ind w:left="170" w:firstLine="709"/>
        <w:contextualSpacing w:val="false"/>
        <w:jc w:val="both"/>
        <w:rPr>
          <w:rFonts w:ascii="Arial" w:hAnsi="Arial" w:eastAsia="Calibri" w:cs="Arial"/>
          <w:sz w:val="20"/>
          <w:szCs w:val="20"/>
          <w:lang w:eastAsia="en-US"/>
        </w:rPr>
      </w:pPr>
      <w:r>
        <w:rPr>
          <w:rFonts w:eastAsia="Calibri" w:cs="Arial" w:ascii="Arial" w:hAnsi="Arial"/>
          <w:sz w:val="20"/>
          <w:szCs w:val="20"/>
          <w:lang w:eastAsia="en-US"/>
        </w:rPr>
        <w:t xml:space="preserve">Documento de Origem Florestal – DOF, instituído pela </w:t>
      </w:r>
      <w:hyperlink r:id="rId7">
        <w:r>
          <w:rPr>
            <w:rFonts w:eastAsia="Calibri" w:cs="Arial" w:ascii="Arial" w:hAnsi="Arial"/>
            <w:sz w:val="20"/>
            <w:szCs w:val="20"/>
            <w:lang w:eastAsia="en-US"/>
          </w:rPr>
          <w:t>Portaria n° 253, de 18/08/2006</w:t>
        </w:r>
      </w:hyperlink>
      <w:r>
        <w:rPr>
          <w:rFonts w:eastAsia="Calibri" w:cs="Arial" w:ascii="Arial" w:hAnsi="Arial"/>
          <w:sz w:val="20"/>
          <w:szCs w:val="20"/>
          <w:lang w:eastAsia="en-US"/>
        </w:rPr>
        <w:t xml:space="preserve">, do Ministério do Meio Ambiente, e </w:t>
      </w:r>
      <w:hyperlink r:id="rId8">
        <w:r>
          <w:rPr>
            <w:rFonts w:eastAsia="Calibri" w:cs="Arial" w:ascii="Arial" w:hAnsi="Arial"/>
            <w:sz w:val="20"/>
            <w:szCs w:val="20"/>
            <w:lang w:eastAsia="en-US"/>
          </w:rPr>
          <w:t>Instrução Normativa IBAMA n° 21, de 24/12/2014</w:t>
        </w:r>
      </w:hyperlink>
      <w:r>
        <w:rPr>
          <w:rFonts w:eastAsia="Calibri" w:cs="Arial" w:ascii="Arial" w:hAnsi="Arial"/>
          <w:sz w:val="20"/>
          <w:szCs w:val="20"/>
          <w:lang w:eastAsia="en-US"/>
        </w:rPr>
        <w:t>, quando se tratar de produtos ou subprodutos florestais de origem nativa cujo transporte e armazenamento exijam a emissão de tal licença obrigatória; e</w:t>
      </w:r>
    </w:p>
    <w:p>
      <w:pPr>
        <w:pStyle w:val="ListParagraph"/>
        <w:numPr>
          <w:ilvl w:val="2"/>
          <w:numId w:val="11"/>
        </w:numPr>
        <w:spacing w:lineRule="auto" w:line="312" w:before="120" w:after="288"/>
        <w:ind w:left="170" w:firstLine="709"/>
        <w:contextualSpacing w:val="false"/>
        <w:jc w:val="both"/>
        <w:rPr>
          <w:rFonts w:ascii="Arial" w:hAnsi="Arial" w:eastAsia="Calibri" w:cs="Arial"/>
          <w:sz w:val="20"/>
          <w:szCs w:val="20"/>
          <w:lang w:eastAsia="en-US"/>
        </w:rPr>
      </w:pPr>
      <w:r>
        <w:rPr>
          <w:rFonts w:eastAsia="Calibri" w:cs="Arial" w:ascii="Arial" w:hAnsi="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pPr>
        <w:pStyle w:val="Nivel2"/>
        <w:numPr>
          <w:ilvl w:val="1"/>
          <w:numId w:val="118"/>
        </w:numPr>
        <w:spacing w:lineRule="auto" w:line="312" w:before="120" w:after="288"/>
        <w:ind w:left="0" w:firstLine="567"/>
        <w:rPr>
          <w:rFonts w:eastAsia="Calibri"/>
          <w:lang w:eastAsia="en-US"/>
        </w:rPr>
      </w:pPr>
      <w:r>
        <w:rPr>
          <w:rFonts w:eastAsia="Calibri"/>
          <w:lang w:eastAsia="en-US"/>
        </w:rPr>
        <w:t xml:space="preserve">Observar as diretrizes, critérios e procedimentos para a gestão dos resíduos da construção civil </w:t>
      </w:r>
      <w:r>
        <w:rPr/>
        <w:t>estabelecidos</w:t>
      </w:r>
      <w:r>
        <w:rPr>
          <w:rFonts w:eastAsia="Calibri"/>
          <w:lang w:eastAsia="en-US"/>
        </w:rPr>
        <w:t xml:space="preserve"> na Resolução nº 307, de 05/07/2002, com as alterações posteriores, do Conselho Nacional de Meio Ambiente - CONAMA, conforme </w:t>
      </w:r>
      <w:r>
        <w:fldChar w:fldCharType="begin"/>
      </w:r>
      <w:r>
        <w:rPr>
          <w:rStyle w:val="LinkdaInternet"/>
          <w:rFonts w:eastAsia="Calibri"/>
          <w:lang w:eastAsia="en-US"/>
        </w:rPr>
        <w:instrText xml:space="preserve"> HYPERLINK "https://www.gov.br/compras/pt-br/acesso-a-informacao/legislacao/instrucoes-normativas/instrucao-normativa-no-01-de-19-de-janeiro-de-2010" \l "art4§2"</w:instrText>
      </w:r>
      <w:r>
        <w:rPr>
          <w:rStyle w:val="LinkdaInternet"/>
          <w:rFonts w:eastAsia="Calibri"/>
          <w:lang w:eastAsia="en-US"/>
        </w:rPr>
        <w:fldChar w:fldCharType="separate"/>
      </w:r>
      <w:r>
        <w:rPr>
          <w:rStyle w:val="LinkdaInternet"/>
          <w:rFonts w:eastAsia="Calibri"/>
          <w:lang w:eastAsia="en-US"/>
        </w:rPr>
        <w:t>artigo 4°, §§ 2° e 3°, da Instrução Normativa SLTI/MP n° 1, de 19/01/2010</w:t>
      </w:r>
      <w:r>
        <w:rPr>
          <w:rStyle w:val="LinkdaInternet"/>
          <w:rFonts w:eastAsia="Calibri"/>
          <w:lang w:eastAsia="en-US"/>
        </w:rPr>
        <w:fldChar w:fldCharType="end"/>
      </w:r>
      <w:r>
        <w:rPr>
          <w:rFonts w:eastAsia="Calibri"/>
          <w:lang w:eastAsia="en-US"/>
        </w:rPr>
        <w:t>, nos seguintes termos:</w:t>
      </w:r>
    </w:p>
    <w:p>
      <w:pPr>
        <w:pStyle w:val="ListParagraph"/>
        <w:numPr>
          <w:ilvl w:val="2"/>
          <w:numId w:val="12"/>
        </w:numPr>
        <w:spacing w:lineRule="auto" w:line="312" w:before="120" w:after="120"/>
        <w:ind w:left="170"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ListParagraph"/>
        <w:numPr>
          <w:ilvl w:val="2"/>
          <w:numId w:val="12"/>
        </w:numPr>
        <w:spacing w:lineRule="auto" w:line="312" w:before="120" w:after="120"/>
        <w:ind w:left="170"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 xml:space="preserve">Nos termos dos </w:t>
      </w:r>
      <w:hyperlink r:id="rId9">
        <w:r>
          <w:rPr>
            <w:rStyle w:val="LinkdaInternet"/>
            <w:rFonts w:eastAsia="Calibri" w:cs="Arial" w:ascii="Arial" w:hAnsi="Arial"/>
            <w:sz w:val="20"/>
            <w:szCs w:val="20"/>
            <w:lang w:eastAsia="en-US"/>
          </w:rPr>
          <w:t>artigos 3° e 10° da Resolução CONAMA n° 307, de 05/07/2002</w:t>
        </w:r>
      </w:hyperlink>
      <w:r>
        <w:rPr>
          <w:rFonts w:eastAsia="Calibri" w:cs="Arial" w:ascii="Arial" w:hAnsi="Arial"/>
          <w:sz w:val="20"/>
          <w:szCs w:val="20"/>
          <w:lang w:eastAsia="en-US"/>
        </w:rPr>
        <w:t>, o Contratado deverá providenciar a destinação ambientalmente adequada dos resíduos da construção civil originários da contratação, obedecendo, no que couber, aos seguintes procedimentos:</w:t>
      </w:r>
    </w:p>
    <w:p>
      <w:pPr>
        <w:pStyle w:val="ListParagraph"/>
        <w:numPr>
          <w:ilvl w:val="3"/>
          <w:numId w:val="12"/>
        </w:numPr>
        <w:spacing w:lineRule="auto" w:line="312" w:before="120" w:after="120"/>
        <w:ind w:left="284"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pPr>
        <w:pStyle w:val="ListParagraph"/>
        <w:numPr>
          <w:ilvl w:val="3"/>
          <w:numId w:val="12"/>
        </w:numPr>
        <w:spacing w:lineRule="auto" w:line="312" w:before="120" w:after="120"/>
        <w:ind w:left="284"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resíduos Classe B (recicláveis para outras destinações): deverão ser reutilizados, reciclados ou encaminhados a áreas de armazenamento temporário, sendo dispostos de modo a permitir a sua utilização ou reciclagem futura.</w:t>
      </w:r>
    </w:p>
    <w:p>
      <w:pPr>
        <w:pStyle w:val="ListParagraph"/>
        <w:numPr>
          <w:ilvl w:val="3"/>
          <w:numId w:val="12"/>
        </w:numPr>
        <w:spacing w:lineRule="auto" w:line="312" w:before="120" w:after="120"/>
        <w:ind w:left="284"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ListParagraph"/>
        <w:numPr>
          <w:ilvl w:val="3"/>
          <w:numId w:val="12"/>
        </w:numPr>
        <w:spacing w:lineRule="auto" w:line="312" w:before="120" w:after="120"/>
        <w:ind w:left="284"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resíduos Classe D (perigosos, contaminados ou prejudiciais à saúde): deverão ser armazenados, transportados, reutilizados e destinados em conformidade com as normas técnicas específicas.</w:t>
      </w:r>
    </w:p>
    <w:p>
      <w:pPr>
        <w:pStyle w:val="Normal"/>
        <w:numPr>
          <w:ilvl w:val="2"/>
          <w:numId w:val="12"/>
        </w:numPr>
        <w:spacing w:lineRule="auto" w:line="312" w:before="120" w:after="120"/>
        <w:ind w:left="170"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12"/>
        </w:numPr>
        <w:spacing w:lineRule="auto" w:line="312" w:before="120" w:after="120"/>
        <w:ind w:left="170"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pPr>
        <w:pStyle w:val="Nivel2"/>
        <w:numPr>
          <w:ilvl w:val="1"/>
          <w:numId w:val="119"/>
        </w:numPr>
        <w:spacing w:lineRule="auto" w:line="312" w:before="120" w:after="288"/>
        <w:ind w:left="0" w:firstLine="567"/>
        <w:rPr>
          <w:rFonts w:eastAsia="Calibri"/>
          <w:lang w:eastAsia="en-US"/>
        </w:rPr>
      </w:pPr>
      <w:r>
        <w:rPr>
          <w:rFonts w:eastAsia="Calibri"/>
          <w:lang w:eastAsia="en-US"/>
        </w:rPr>
        <w:t xml:space="preserve">Observar as </w:t>
      </w:r>
      <w:r>
        <w:rPr/>
        <w:t>seguintes</w:t>
      </w:r>
      <w:r>
        <w:rPr>
          <w:rFonts w:eastAsia="Calibri"/>
          <w:lang w:eastAsia="en-US"/>
        </w:rPr>
        <w:t xml:space="preserve"> diretrizes de caráter ambiental:</w:t>
      </w:r>
    </w:p>
    <w:p>
      <w:pPr>
        <w:pStyle w:val="ListParagraph"/>
        <w:numPr>
          <w:ilvl w:val="1"/>
          <w:numId w:val="12"/>
        </w:numPr>
        <w:spacing w:lineRule="auto" w:line="312" w:before="120" w:after="120"/>
        <w:contextualSpacing/>
        <w:jc w:val="both"/>
        <w:rPr>
          <w:rFonts w:ascii="Arial" w:hAnsi="Arial" w:eastAsia="Calibri" w:cs="Arial"/>
          <w:vanish/>
          <w:sz w:val="20"/>
          <w:szCs w:val="20"/>
          <w:lang w:eastAsia="en-US"/>
        </w:rPr>
      </w:pPr>
      <w:r>
        <w:rPr>
          <w:rFonts w:eastAsia="Calibri" w:cs="Arial" w:ascii="Arial" w:hAnsi="Arial"/>
          <w:vanish/>
          <w:sz w:val="20"/>
          <w:szCs w:val="20"/>
          <w:lang w:eastAsia="en-US"/>
        </w:rPr>
      </w:r>
    </w:p>
    <w:p>
      <w:pPr>
        <w:pStyle w:val="Normal"/>
        <w:numPr>
          <w:ilvl w:val="2"/>
          <w:numId w:val="12"/>
        </w:numPr>
        <w:spacing w:lineRule="auto" w:line="312" w:before="120" w:after="288"/>
        <w:ind w:left="170"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Qualquer</w:t>
      </w:r>
      <w:r>
        <w:rPr>
          <w:rFonts w:cs="Arial" w:ascii="Arial" w:hAnsi="Arial"/>
          <w:sz w:val="20"/>
          <w:szCs w:val="20"/>
        </w:rPr>
        <w:t xml:space="preserve"> instalação, equipamento ou processo, situado em local fixo, que</w:t>
      </w:r>
      <w:r>
        <w:rPr>
          <w:rFonts w:eastAsia="Calibri" w:cs="Arial" w:ascii="Arial" w:hAnsi="Arial"/>
          <w:sz w:val="20"/>
          <w:szCs w:val="20"/>
          <w:lang w:eastAsia="en-US"/>
        </w:rPr>
        <w:t xml:space="preserve"> </w:t>
      </w:r>
      <w:r>
        <w:rPr>
          <w:rFonts w:cs="Arial" w:ascii="Arial" w:hAnsi="Arial"/>
          <w:sz w:val="20"/>
          <w:szCs w:val="20"/>
        </w:rPr>
        <w:t>libere</w:t>
      </w:r>
      <w:r>
        <w:rPr>
          <w:rFonts w:eastAsia="Calibri" w:cs="Arial" w:ascii="Arial" w:hAnsi="Arial"/>
          <w:sz w:val="20"/>
          <w:szCs w:val="20"/>
          <w:lang w:eastAsia="en-US"/>
        </w:rPr>
        <w:t xml:space="preserve"> ou emita matéria para a atmosfera, por emissão pontual ou fugitiva, </w:t>
      </w:r>
      <w:r>
        <w:rPr>
          <w:rFonts w:cs="Arial" w:ascii="Arial" w:hAnsi="Arial"/>
          <w:sz w:val="20"/>
          <w:szCs w:val="20"/>
        </w:rPr>
        <w:t>utilizado</w:t>
      </w:r>
      <w:r>
        <w:rPr>
          <w:rFonts w:eastAsia="Calibri" w:cs="Arial" w:ascii="Arial" w:hAnsi="Arial"/>
          <w:sz w:val="20"/>
          <w:szCs w:val="20"/>
          <w:lang w:eastAsia="en-US"/>
        </w:rPr>
        <w:t xml:space="preserve"> na execução contratual, deverá respeitar os limites máximos de emissão de poluentes admitidos na </w:t>
      </w:r>
      <w:hyperlink r:id="rId10">
        <w:r>
          <w:rPr>
            <w:rStyle w:val="LinkdaInternet"/>
            <w:rFonts w:eastAsia="Calibri" w:cs="Arial" w:ascii="Arial" w:hAnsi="Arial"/>
            <w:sz w:val="20"/>
            <w:szCs w:val="20"/>
            <w:lang w:eastAsia="en-US"/>
          </w:rPr>
          <w:t>Resolução CONAMA n° 382, de 26/12/2006</w:t>
        </w:r>
      </w:hyperlink>
      <w:r>
        <w:rPr>
          <w:rFonts w:eastAsia="Calibri" w:cs="Arial" w:ascii="Arial" w:hAnsi="Arial"/>
          <w:sz w:val="20"/>
          <w:szCs w:val="20"/>
          <w:lang w:eastAsia="en-US"/>
        </w:rPr>
        <w:t>, e legislação correlata, de acordo com o poluente e o tipo de fonte.</w:t>
      </w:r>
    </w:p>
    <w:p>
      <w:pPr>
        <w:pStyle w:val="Normal"/>
        <w:numPr>
          <w:ilvl w:val="2"/>
          <w:numId w:val="12"/>
        </w:numPr>
        <w:spacing w:lineRule="auto" w:line="312" w:before="120" w:after="288"/>
        <w:ind w:left="170" w:firstLine="709"/>
        <w:contextualSpacing/>
        <w:jc w:val="both"/>
        <w:rPr>
          <w:rFonts w:ascii="Arial" w:hAnsi="Arial" w:eastAsia="Calibri" w:cs="Arial"/>
          <w:sz w:val="20"/>
          <w:szCs w:val="20"/>
          <w:lang w:eastAsia="en-US"/>
        </w:rPr>
      </w:pPr>
      <w:r>
        <w:rPr>
          <w:rFonts w:eastAsia="Calibri" w:cs="Arial" w:ascii="Arial" w:hAnsi="Arial"/>
          <w:sz w:val="20"/>
          <w:szCs w:val="20"/>
          <w:lang w:eastAsia="en-US"/>
        </w:rPr>
        <w:t xml:space="preserve">Na execução contratual, conforme o caso, a emissão de ruídos não poderá ultrapassar os níveis </w:t>
      </w:r>
      <w:r>
        <w:rPr>
          <w:rFonts w:cs="Arial" w:ascii="Arial" w:hAnsi="Arial"/>
          <w:sz w:val="20"/>
          <w:szCs w:val="20"/>
        </w:rPr>
        <w:t>considerados</w:t>
      </w:r>
      <w:r>
        <w:rPr>
          <w:rFonts w:eastAsia="Calibri" w:cs="Arial" w:ascii="Arial" w:hAnsi="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Pr>
          <w:rFonts w:eastAsia="Calibri"/>
          <w:lang w:eastAsia="en-US"/>
        </w:rPr>
        <w:t xml:space="preserve"> </w:t>
      </w:r>
      <w:r>
        <w:rPr>
          <w:rFonts w:eastAsia="Calibri" w:cs="Arial" w:ascii="Arial" w:hAnsi="Arial"/>
          <w:sz w:val="20"/>
          <w:szCs w:val="20"/>
          <w:lang w:eastAsia="en-US"/>
        </w:rPr>
        <w:t xml:space="preserve">da Associação Brasileira de Normas Técnicas - ABNT, nos termos da </w:t>
      </w:r>
      <w:hyperlink r:id="rId11">
        <w:r>
          <w:rPr>
            <w:rStyle w:val="LinkdaInternet"/>
            <w:rFonts w:cs="Arial" w:ascii="Arial" w:hAnsi="Arial"/>
            <w:sz w:val="20"/>
          </w:rPr>
          <w:t>Resolução CONAMA n° 01, de 08/03/90</w:t>
        </w:r>
      </w:hyperlink>
      <w:r>
        <w:rPr>
          <w:rFonts w:eastAsia="Calibri" w:cs="Arial" w:ascii="Arial" w:hAnsi="Arial"/>
          <w:sz w:val="20"/>
          <w:szCs w:val="20"/>
          <w:lang w:eastAsia="en-US"/>
        </w:rPr>
        <w:t>, e legislação correlata.</w:t>
      </w:r>
    </w:p>
    <w:p>
      <w:pPr>
        <w:pStyle w:val="Nivel2"/>
        <w:numPr>
          <w:ilvl w:val="1"/>
          <w:numId w:val="120"/>
        </w:numPr>
        <w:spacing w:lineRule="auto" w:line="312" w:before="120" w:after="288"/>
        <w:ind w:left="0" w:firstLine="567"/>
        <w:rPr/>
      </w:pPr>
      <w:r>
        <w:rPr/>
        <w:t xml:space="preserve">Nos termos do </w:t>
      </w:r>
      <w:hyperlink r:id="rId12">
        <w:r>
          <w:rPr>
            <w:rStyle w:val="LinkdaInternet"/>
          </w:rPr>
          <w:t>artigo 4°, § 3°, da Instrução Normativa SLTI/MP n° 1, de 19/01/2010</w:t>
        </w:r>
      </w:hyperlink>
      <w:r>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ivel2"/>
        <w:numPr>
          <w:ilvl w:val="1"/>
          <w:numId w:val="121"/>
        </w:numPr>
        <w:spacing w:lineRule="auto" w:line="312" w:before="120" w:after="288"/>
        <w:ind w:left="0" w:firstLine="567"/>
        <w:rPr/>
      </w:pPr>
      <w:r>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pPr>
        <w:pStyle w:val="Nivel2"/>
        <w:numPr>
          <w:ilvl w:val="1"/>
          <w:numId w:val="122"/>
        </w:numPr>
        <w:spacing w:lineRule="auto" w:line="312" w:before="120" w:after="288"/>
        <w:ind w:left="0" w:firstLine="567"/>
        <w:rPr/>
      </w:pPr>
      <w:r>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pPr>
        <w:pStyle w:val="Nivel2"/>
        <w:numPr>
          <w:ilvl w:val="1"/>
          <w:numId w:val="123"/>
        </w:numPr>
        <w:spacing w:lineRule="auto" w:line="312" w:before="120" w:after="288"/>
        <w:ind w:left="0" w:firstLine="567"/>
        <w:rPr/>
      </w:pPr>
      <w:r>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Nivel3"/>
        <w:numPr>
          <w:ilvl w:val="0"/>
          <w:numId w:val="0"/>
        </w:numPr>
        <w:spacing w:lineRule="auto" w:line="312" w:before="120" w:after="288"/>
        <w:ind w:left="170" w:hanging="0"/>
        <w:rPr>
          <w:color w:val="000000"/>
        </w:rPr>
      </w:pPr>
      <w:r>
        <w:rPr>
          <w:rFonts w:eastAsia="Calibri"/>
          <w:i/>
          <w:color w:val="000000"/>
          <w:lang w:eastAsia="en-US"/>
        </w:rPr>
        <w:commentReference w:id="16"/>
      </w:r>
    </w:p>
    <w:p>
      <w:pPr>
        <w:pStyle w:val="Nivel2"/>
        <w:numPr>
          <w:ilvl w:val="0"/>
          <w:numId w:val="0"/>
        </w:numPr>
        <w:spacing w:lineRule="auto" w:line="312" w:before="120" w:after="288"/>
        <w:ind w:left="0" w:hanging="0"/>
        <w:rPr>
          <w:rFonts w:eastAsia="Calibri"/>
          <w:i/>
          <w:i/>
          <w:color w:val="FF0000"/>
        </w:rPr>
      </w:pPr>
      <w:r>
        <w:rPr/>
      </w:r>
    </w:p>
    <w:p>
      <w:pPr>
        <w:pStyle w:val="Nivel01"/>
        <w:numPr>
          <w:ilvl w:val="0"/>
          <w:numId w:val="124"/>
        </w:numPr>
        <w:spacing w:lineRule="auto" w:line="312" w:before="120" w:after="288"/>
        <w:ind w:left="0" w:hanging="0"/>
        <w:rPr>
          <w:color w:val="000000"/>
        </w:rPr>
      </w:pPr>
      <w:commentRangeStart w:id="17"/>
      <w:r>
        <w:rPr>
          <w:color w:val="000000"/>
        </w:rPr>
        <w:t>CLÁUSULA DÉCIMA- OBRIGAÇÕES PERTINENTES À LGPD</w:t>
      </w:r>
      <w:commentRangeEnd w:id="17"/>
      <w:r>
        <w:commentReference w:id="17"/>
      </w:r>
      <w:r>
        <w:rPr>
          <w:color w:val="000000"/>
        </w:rPr>
      </w:r>
    </w:p>
    <w:p>
      <w:pPr>
        <w:pStyle w:val="Nvel2Red"/>
        <w:numPr>
          <w:ilvl w:val="1"/>
          <w:numId w:val="125"/>
        </w:numPr>
        <w:spacing w:lineRule="auto" w:line="312" w:before="120" w:after="288"/>
        <w:ind w:left="0" w:firstLine="567"/>
        <w:rPr/>
      </w:pPr>
      <w:r>
        <w:rPr>
          <w:color w:val="000000"/>
        </w:rPr>
        <w:t xml:space="preserve">As partes deverão cumprir a </w:t>
      </w:r>
      <w:hyperlink r:id="rId13">
        <w:r>
          <w:rPr>
            <w:rStyle w:val="LinkdaInternet"/>
            <w:color w:val="000000"/>
          </w:rPr>
          <w:t>Lei nº 13.709, de 14 de agosto de 2018 (LGPD)</w:t>
        </w:r>
      </w:hyperlink>
      <w:r>
        <w:rPr>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126"/>
        </w:numPr>
        <w:spacing w:lineRule="auto" w:line="312" w:before="120" w:after="288"/>
        <w:ind w:left="0" w:firstLine="567"/>
        <w:rPr/>
      </w:pPr>
      <w:r>
        <w:rPr>
          <w:color w:val="000000"/>
        </w:rPr>
        <w:t xml:space="preserve">Os dados obtidos somente poderão ser utilizados para as finalidades que justificaram seu acesso e de acordo com a boa-fé e com os princípios do </w:t>
      </w:r>
      <w:r>
        <w:fldChar w:fldCharType="begin"/>
      </w:r>
      <w:r>
        <w:rPr>
          <w:rStyle w:val="LinkdaInternet"/>
          <w:color w:val="000000"/>
        </w:rPr>
        <w:instrText xml:space="preserve"> HYPERLINK "https://www.planalto.gov.br/ccivil_03/_ato2015-2018/2018/lei/l13709.htm" \l "art6"</w:instrText>
      </w:r>
      <w:r>
        <w:rPr>
          <w:rStyle w:val="LinkdaInternet"/>
          <w:color w:val="000000"/>
        </w:rPr>
        <w:fldChar w:fldCharType="separate"/>
      </w:r>
      <w:r>
        <w:rPr>
          <w:rStyle w:val="LinkdaInternet"/>
          <w:color w:val="000000"/>
        </w:rPr>
        <w:t>art. 6º da LGPD</w:t>
      </w:r>
      <w:r>
        <w:rPr>
          <w:rStyle w:val="LinkdaInternet"/>
          <w:color w:val="000000"/>
        </w:rPr>
        <w:fldChar w:fldCharType="end"/>
      </w:r>
      <w:r>
        <w:rPr>
          <w:color w:val="000000"/>
        </w:rPr>
        <w:t xml:space="preserve">. </w:t>
      </w:r>
    </w:p>
    <w:p>
      <w:pPr>
        <w:pStyle w:val="Nvel2Red"/>
        <w:numPr>
          <w:ilvl w:val="1"/>
          <w:numId w:val="127"/>
        </w:numPr>
        <w:spacing w:lineRule="auto" w:line="312" w:before="120" w:after="288"/>
        <w:ind w:left="0" w:firstLine="567"/>
        <w:rPr>
          <w:color w:val="000000"/>
        </w:rPr>
      </w:pPr>
      <w:r>
        <w:rPr>
          <w:color w:val="000000"/>
        </w:rPr>
        <w:t>É vedado o compartilhamento com terceiros dos dados obtidos fora das hipóteses permitidas em Lei.</w:t>
      </w:r>
    </w:p>
    <w:p>
      <w:pPr>
        <w:pStyle w:val="Nvel2Red"/>
        <w:numPr>
          <w:ilvl w:val="1"/>
          <w:numId w:val="128"/>
        </w:numPr>
        <w:spacing w:lineRule="auto" w:line="312" w:before="120" w:after="288"/>
        <w:ind w:left="0" w:firstLine="567"/>
        <w:rPr>
          <w:color w:val="000000"/>
        </w:rPr>
      </w:pPr>
      <w:r>
        <w:rPr>
          <w:color w:val="000000"/>
        </w:rPr>
        <w:t xml:space="preserve">A Administração deverá ser informada no prazo de 5 (cinco) dias úteis sobre todos os contratos de suboperação firmados ou que venham a ser celebrados pelo Contratado. </w:t>
      </w:r>
    </w:p>
    <w:p>
      <w:pPr>
        <w:pStyle w:val="Nvel2Red"/>
        <w:numPr>
          <w:ilvl w:val="1"/>
          <w:numId w:val="129"/>
        </w:numPr>
        <w:spacing w:lineRule="auto" w:line="312" w:before="120" w:after="288"/>
        <w:ind w:left="0" w:firstLine="567"/>
        <w:rPr/>
      </w:pPr>
      <w:r>
        <w:rPr>
          <w:color w:val="000000"/>
        </w:rPr>
        <w:t xml:space="preserve">Terminado o tratamento dos dados nos termos do </w:t>
      </w:r>
      <w:r>
        <w:fldChar w:fldCharType="begin"/>
      </w:r>
      <w:r>
        <w:rPr>
          <w:rStyle w:val="LinkdaInternet"/>
          <w:color w:val="000000"/>
        </w:rPr>
        <w:instrText xml:space="preserve"> HYPERLINK "https://www.planalto.gov.br/ccivil_03/_ato2015-2018/2018/lei/l13709.htm" \l "art15"</w:instrText>
      </w:r>
      <w:r>
        <w:rPr>
          <w:rStyle w:val="LinkdaInternet"/>
          <w:color w:val="000000"/>
        </w:rPr>
        <w:fldChar w:fldCharType="separate"/>
      </w:r>
      <w:r>
        <w:rPr>
          <w:rStyle w:val="LinkdaInternet"/>
          <w:color w:val="000000"/>
        </w:rPr>
        <w:t>art. 15 da LGPD</w:t>
      </w:r>
      <w:r>
        <w:rPr>
          <w:rStyle w:val="LinkdaInternet"/>
          <w:color w:val="000000"/>
        </w:rPr>
        <w:fldChar w:fldCharType="end"/>
      </w:r>
      <w:r>
        <w:rPr>
          <w:color w:val="000000"/>
        </w:rPr>
        <w:t xml:space="preserve">, é dever do contratado eliminá-los, com exceção das hipóteses do </w:t>
      </w:r>
      <w:r>
        <w:fldChar w:fldCharType="begin"/>
      </w:r>
      <w:r>
        <w:rPr>
          <w:rStyle w:val="LinkdaInternet"/>
          <w:color w:val="000000"/>
        </w:rPr>
        <w:instrText xml:space="preserve"> HYPERLINK "https://www.planalto.gov.br/ccivil_03/_ato2015-2018/2018/lei/l13709.htm" \l "art16"</w:instrText>
      </w:r>
      <w:r>
        <w:rPr>
          <w:rStyle w:val="LinkdaInternet"/>
          <w:color w:val="000000"/>
        </w:rPr>
        <w:fldChar w:fldCharType="separate"/>
      </w:r>
      <w:r>
        <w:rPr>
          <w:rStyle w:val="LinkdaInternet"/>
          <w:color w:val="000000"/>
        </w:rPr>
        <w:t>art. 16 da LGPD</w:t>
      </w:r>
      <w:r>
        <w:rPr>
          <w:rStyle w:val="LinkdaInternet"/>
          <w:color w:val="000000"/>
        </w:rPr>
        <w:fldChar w:fldCharType="end"/>
      </w:r>
      <w:r>
        <w:rPr>
          <w:color w:val="000000"/>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130"/>
        </w:numPr>
        <w:spacing w:lineRule="auto" w:line="312" w:before="120" w:after="288"/>
        <w:ind w:left="0" w:firstLine="567"/>
        <w:rPr>
          <w:color w:val="000000"/>
        </w:rPr>
      </w:pPr>
      <w:commentRangeStart w:id="18"/>
      <w:r>
        <w:rPr>
          <w:color w:val="000000"/>
        </w:rPr>
        <w:t xml:space="preserve">É dever do contratado orientar e treinar seus empregados sobre os deveres, requisitos e responsabilidades decorrentes da LGPD. </w:t>
      </w:r>
      <w:commentRangeEnd w:id="18"/>
      <w:r>
        <w:commentReference w:id="18"/>
      </w:r>
      <w:r>
        <w:rPr>
          <w:color w:val="000000"/>
        </w:rPr>
      </w:r>
    </w:p>
    <w:p>
      <w:pPr>
        <w:pStyle w:val="Nvel2Red"/>
        <w:numPr>
          <w:ilvl w:val="1"/>
          <w:numId w:val="131"/>
        </w:numPr>
        <w:spacing w:lineRule="auto" w:line="312" w:before="120" w:after="288"/>
        <w:ind w:left="0" w:firstLine="567"/>
        <w:rPr>
          <w:color w:val="000000"/>
        </w:rPr>
      </w:pPr>
      <w:r>
        <w:rPr>
          <w:color w:val="000000"/>
        </w:rPr>
        <w:t>O Contratado deverá exigir de suboperadores e subcontratados o cumprimento dos deveres da presente cláusula, permanecendo integralmente responsável por garantir sua observância.</w:t>
      </w:r>
    </w:p>
    <w:p>
      <w:pPr>
        <w:pStyle w:val="Nvel2Red"/>
        <w:numPr>
          <w:ilvl w:val="1"/>
          <w:numId w:val="132"/>
        </w:numPr>
        <w:spacing w:lineRule="auto" w:line="312" w:before="120" w:after="288"/>
        <w:ind w:left="0" w:firstLine="567"/>
        <w:rPr>
          <w:color w:val="000000"/>
        </w:rPr>
      </w:pPr>
      <w:commentRangeStart w:id="19"/>
      <w:r>
        <w:rPr>
          <w:color w:val="000000"/>
        </w:rPr>
        <w:t xml:space="preserve">O Contratante poderá realizar diligência para aferir o cumprimento dessa cláusula, devendo o Contratado atender prontamente eventuais pedidos de comprovação formulados. </w:t>
      </w:r>
      <w:commentRangeEnd w:id="19"/>
      <w:r>
        <w:commentReference w:id="19"/>
      </w:r>
      <w:r>
        <w:rPr>
          <w:color w:val="000000"/>
        </w:rPr>
      </w:r>
    </w:p>
    <w:p>
      <w:pPr>
        <w:pStyle w:val="Nvel2Red"/>
        <w:numPr>
          <w:ilvl w:val="1"/>
          <w:numId w:val="133"/>
        </w:numPr>
        <w:spacing w:lineRule="auto" w:line="312" w:before="120" w:after="288"/>
        <w:ind w:left="0" w:firstLine="567"/>
        <w:rPr>
          <w:color w:val="000000"/>
        </w:rPr>
      </w:pPr>
      <w:r>
        <w:rPr>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34"/>
        </w:numPr>
        <w:spacing w:lineRule="auto" w:line="312" w:before="120" w:after="288"/>
        <w:ind w:left="0" w:firstLine="567"/>
        <w:rPr/>
      </w:pPr>
      <w:r>
        <w:rPr>
          <w:color w:val="000000"/>
        </w:rPr>
        <w:t>Bancos de dados formados a partir de contratos administrativos, notadamente aqueles que se proponham a armazenar dados pessoais, devem ser mantidos em ambiente virtual controlado, com registro individual rastreável de tratamentos realizados (</w:t>
      </w:r>
      <w:hyperlink r:id="rId14">
        <w:r>
          <w:rPr>
            <w:rStyle w:val="LinkdaInternet"/>
            <w:color w:val="000000"/>
          </w:rPr>
          <w:t>LGPD, art. 37</w:t>
        </w:r>
      </w:hyperlink>
      <w:r>
        <w:rPr>
          <w:color w:val="000000"/>
        </w:rPr>
        <w:t>), com cada acesso, data, horário e registro da finalidade, para efeito de responsabilização, em caso de eventuais omissões, desvios ou abusos.</w:t>
      </w:r>
    </w:p>
    <w:p>
      <w:pPr>
        <w:pStyle w:val="Nvel3R"/>
        <w:numPr>
          <w:ilvl w:val="2"/>
          <w:numId w:val="135"/>
        </w:numPr>
        <w:spacing w:lineRule="auto" w:line="312" w:before="120" w:after="288"/>
        <w:ind w:left="170" w:firstLine="709"/>
        <w:rPr>
          <w:color w:val="000000"/>
        </w:rPr>
      </w:pPr>
      <w:r>
        <w:rPr>
          <w:color w:val="000000"/>
        </w:rPr>
        <w:t>Os referidos bancos de dados devem ser desenvolvidos em formato interoperável, a fim de garantir a reutilização desses dados pela Administração nas hipóteses previstas na LGPD.</w:t>
      </w:r>
    </w:p>
    <w:p>
      <w:pPr>
        <w:pStyle w:val="Nvel2Red"/>
        <w:numPr>
          <w:ilvl w:val="1"/>
          <w:numId w:val="136"/>
        </w:numPr>
        <w:spacing w:lineRule="auto" w:line="312" w:before="120" w:after="288"/>
        <w:ind w:left="0" w:firstLine="567"/>
        <w:rPr>
          <w:color w:val="000000"/>
        </w:rPr>
      </w:pPr>
      <w:r>
        <w:rPr>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37"/>
        </w:numPr>
        <w:spacing w:lineRule="auto" w:line="312" w:before="120" w:after="288"/>
        <w:ind w:left="0" w:firstLine="567"/>
        <w:rPr/>
      </w:pPr>
      <w:commentRangeStart w:id="20"/>
      <w:r>
        <w:rPr>
          <w:color w:val="000000"/>
        </w:rPr>
        <w:t xml:space="preserve">Os contratos e convênios de que trata o </w:t>
      </w:r>
      <w:r>
        <w:fldChar w:fldCharType="begin"/>
      </w:r>
      <w:r>
        <w:rPr>
          <w:rStyle w:val="LinkdaInternet"/>
          <w:color w:val="000000"/>
        </w:rPr>
        <w:instrText xml:space="preserve"> HYPERLINK "https://www.planalto.gov.br/ccivil_03/_ato2015-2018/2018/lei/l13709.htm" \l "art26§1"</w:instrText>
      </w:r>
      <w:r>
        <w:rPr>
          <w:rStyle w:val="LinkdaInternet"/>
          <w:color w:val="000000"/>
        </w:rPr>
        <w:fldChar w:fldCharType="separate"/>
      </w:r>
      <w:r>
        <w:rPr>
          <w:rStyle w:val="LinkdaInternet"/>
          <w:color w:val="000000"/>
        </w:rPr>
        <w:t>§ 1º do art. 26 da LGPD</w:t>
      </w:r>
      <w:r>
        <w:rPr>
          <w:rStyle w:val="LinkdaInternet"/>
          <w:color w:val="000000"/>
        </w:rPr>
        <w:fldChar w:fldCharType="end"/>
      </w:r>
      <w:r>
        <w:rPr>
          <w:color w:val="000000"/>
        </w:rPr>
        <w:t xml:space="preserve"> deverão ser comunicados à autoridade nacional.</w:t>
      </w:r>
      <w:commentRangeEnd w:id="20"/>
      <w:r>
        <w:commentReference w:id="20"/>
      </w:r>
      <w:r>
        <w:rPr>
          <w:color w:val="000000"/>
        </w:rPr>
      </w:r>
    </w:p>
    <w:p>
      <w:pPr>
        <w:pStyle w:val="Nivel01"/>
        <w:numPr>
          <w:ilvl w:val="0"/>
          <w:numId w:val="138"/>
        </w:numPr>
        <w:spacing w:lineRule="auto" w:line="312" w:before="120" w:after="288"/>
        <w:ind w:left="0" w:hanging="0"/>
        <w:rPr>
          <w:color w:val="FFFFFF" w:themeColor="background1"/>
        </w:rPr>
      </w:pPr>
      <w:r>
        <w:rPr/>
        <w:t>CLÁUSULA DÉCIMA PRIMEIRA –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ivel2"/>
        <w:numPr>
          <w:ilvl w:val="1"/>
          <w:numId w:val="139"/>
        </w:numPr>
        <w:spacing w:lineRule="auto" w:line="312" w:before="120" w:after="288"/>
        <w:ind w:left="0" w:firstLine="567"/>
        <w:rPr/>
      </w:pPr>
      <w:bookmarkStart w:id="5" w:name="_Ref122964679"/>
      <w:commentRangeStart w:id="21"/>
      <w:r>
        <w:rPr>
          <w:i/>
          <w:color w:val="000000"/>
        </w:rPr>
        <w:t>A contratação conta com garantia de execução, nos moldes do</w:t>
      </w:r>
      <w:r>
        <w:rPr>
          <w:i/>
          <w:color w:val="FF0000"/>
        </w:rPr>
        <w:t xml:space="preserve"> </w:t>
      </w:r>
      <w:r>
        <w:fldChar w:fldCharType="begin"/>
      </w:r>
      <w:r>
        <w:rPr>
          <w:rStyle w:val="LinkdaInternet"/>
          <w:i/>
        </w:rPr>
        <w:instrText xml:space="preserve"> HYPERLINK "http://www.planalto.gov.br/ccivil_03/_ato2019-2022/2021/lei/L14133.htm" \l "art96"</w:instrText>
      </w:r>
      <w:r>
        <w:rPr>
          <w:rStyle w:val="LinkdaInternet"/>
          <w:i/>
        </w:rPr>
        <w:fldChar w:fldCharType="separate"/>
      </w:r>
      <w:r>
        <w:rPr>
          <w:rStyle w:val="LinkdaInternet"/>
          <w:i/>
        </w:rPr>
        <w:t>art. 96 da Lei nº 14.133, de 2021</w:t>
      </w:r>
      <w:r>
        <w:rPr>
          <w:rStyle w:val="LinkdaInternet"/>
          <w:i/>
        </w:rPr>
        <w:fldChar w:fldCharType="end"/>
      </w:r>
      <w:r>
        <w:rPr>
          <w:i/>
          <w:color w:val="FF0000"/>
        </w:rPr>
        <w:t xml:space="preserve">, </w:t>
      </w:r>
      <w:bookmarkEnd w:id="5"/>
      <w:r>
        <w:rPr>
          <w:i/>
          <w:color w:val="FF0000"/>
          <w:shd w:fill="FFFF00" w:val="clear"/>
        </w:rPr>
        <w:t>conforme termo de referência</w:t>
      </w:r>
      <w:commentRangeEnd w:id="21"/>
      <w:r>
        <w:commentReference w:id="21"/>
      </w:r>
      <w:r>
        <w:rPr>
          <w:i/>
          <w:color w:val="FF0000"/>
          <w:shd w:fill="FFFF00" w:val="clear"/>
        </w:rPr>
      </w:r>
    </w:p>
    <w:p>
      <w:pPr>
        <w:pStyle w:val="Ou"/>
        <w:spacing w:lineRule="auto" w:line="312" w:before="120" w:after="288"/>
        <w:ind w:left="0" w:firstLine="567"/>
        <w:rPr>
          <w:sz w:val="20"/>
          <w:szCs w:val="20"/>
        </w:rPr>
      </w:pPr>
      <w:r>
        <w:rPr/>
      </w:r>
      <w:bookmarkStart w:id="6" w:name="_Hlk122963563"/>
      <w:bookmarkStart w:id="7" w:name="_Hlk122963563"/>
      <w:bookmarkEnd w:id="7"/>
    </w:p>
    <w:p>
      <w:pPr>
        <w:pStyle w:val="Nivel2"/>
        <w:numPr>
          <w:ilvl w:val="0"/>
          <w:numId w:val="0"/>
        </w:numPr>
        <w:spacing w:lineRule="auto" w:line="312" w:before="120" w:after="288"/>
        <w:ind w:left="0" w:hanging="0"/>
        <w:rPr/>
      </w:pPr>
      <w:r>
        <w:rPr/>
      </w:r>
      <w:bookmarkStart w:id="8" w:name="_Hlk122963563"/>
      <w:bookmarkStart w:id="9" w:name="_Hlk122963563"/>
      <w:bookmarkEnd w:id="9"/>
    </w:p>
    <w:p>
      <w:pPr>
        <w:pStyle w:val="Ou"/>
        <w:spacing w:before="120" w:after="120"/>
        <w:rPr/>
      </w:pPr>
      <w:r>
        <w:rPr/>
      </w:r>
    </w:p>
    <w:p>
      <w:pPr>
        <w:pStyle w:val="Nivel01"/>
        <w:numPr>
          <w:ilvl w:val="0"/>
          <w:numId w:val="140"/>
        </w:numPr>
        <w:spacing w:lineRule="auto" w:line="312" w:before="120" w:after="288"/>
        <w:ind w:left="0" w:hanging="0"/>
        <w:rPr>
          <w:color w:val="FFFFFF" w:themeColor="background1"/>
        </w:rPr>
      </w:pPr>
      <w:r>
        <w:rPr/>
        <w:t>CLÁUSULA DÉCIMA SEGUNDA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41"/>
        </w:numPr>
        <w:spacing w:lineRule="auto" w:line="312" w:before="120" w:after="288"/>
        <w:ind w:left="0" w:firstLine="567"/>
        <w:rPr/>
      </w:pPr>
      <w:r>
        <w:rPr/>
        <w:t xml:space="preserve">Comete infração administrativa, nos termos da </w:t>
      </w:r>
      <w:hyperlink r:id="rId15">
        <w:r>
          <w:rPr>
            <w:rStyle w:val="LinkdaInternet"/>
          </w:rPr>
          <w:t>Lei nº 14.133, de 2021</w:t>
        </w:r>
      </w:hyperlink>
      <w:r>
        <w:rPr/>
        <w:t>, o contratado que:</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7"/>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xml:space="preserve">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42"/>
        </w:numPr>
        <w:spacing w:lineRule="auto" w:line="312" w:before="120" w:after="288"/>
        <w:ind w:left="0" w:firstLine="567"/>
        <w:rPr/>
      </w:pPr>
      <w:r>
        <w:rPr/>
        <w:t>Serão aplicadas ao contratado que incorrer nas infrações acima descritas as seguintes sanções:</w:t>
      </w:r>
    </w:p>
    <w:p>
      <w:pPr>
        <w:pStyle w:val="Normal"/>
        <w:numPr>
          <w:ilvl w:val="2"/>
          <w:numId w:val="8"/>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10" w:name="_Hlk114504069"/>
      <w:r>
        <w:rPr>
          <w:rStyle w:val="LinkdaInternet"/>
          <w:rFonts w:eastAsia="Arial" w:cs="Arial" w:ascii="Arial" w:hAnsi="Arial"/>
          <w:sz w:val="20"/>
          <w:szCs w:val="20"/>
        </w:rPr>
        <w:t>Lei nº 14.133, de 2021</w:t>
      </w:r>
      <w:bookmarkEnd w:id="10"/>
      <w:r>
        <w:rPr>
          <w:rFonts w:eastAsia="Arial" w:cs="Arial" w:ascii="Arial" w:hAnsi="Arial"/>
          <w:sz w:val="20"/>
          <w:szCs w:val="20"/>
        </w:rPr>
        <w:t>);</w:t>
      </w:r>
    </w:p>
    <w:p>
      <w:pPr>
        <w:pStyle w:val="Normal"/>
        <w:numPr>
          <w:ilvl w:val="2"/>
          <w:numId w:val="8"/>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8"/>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8"/>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8"/>
        </w:numPr>
        <w:suppressAutoHyphens w:val="true"/>
        <w:spacing w:lineRule="auto" w:line="312" w:before="120" w:after="288"/>
        <w:ind w:left="924" w:firstLine="709"/>
        <w:contextualSpacing/>
        <w:jc w:val="both"/>
        <w:rPr>
          <w:color w:val="000000"/>
        </w:rPr>
      </w:pPr>
      <w:r>
        <w:rPr>
          <w:rFonts w:eastAsia="Arial" w:cs="Arial" w:ascii="Arial" w:hAnsi="Arial"/>
          <w:color w:val="000000"/>
          <w:sz w:val="20"/>
          <w:szCs w:val="20"/>
        </w:rPr>
        <w:t xml:space="preserve">Moratória de </w:t>
      </w:r>
      <w:r>
        <w:rPr>
          <w:rFonts w:eastAsia="Arial" w:cs="Arial" w:ascii="Arial" w:hAnsi="Arial"/>
          <w:color w:val="000000"/>
          <w:sz w:val="20"/>
          <w:szCs w:val="20"/>
        </w:rPr>
        <w:t xml:space="preserve">10 </w:t>
      </w:r>
      <w:r>
        <w:rPr>
          <w:rFonts w:eastAsia="Arial" w:cs="Arial" w:ascii="Arial" w:hAnsi="Arial"/>
          <w:color w:val="000000"/>
          <w:sz w:val="20"/>
          <w:szCs w:val="20"/>
        </w:rPr>
        <w:t>% (</w:t>
      </w:r>
      <w:r>
        <w:rPr>
          <w:rFonts w:eastAsia="Arial" w:cs="Arial" w:ascii="Arial" w:hAnsi="Arial"/>
          <w:color w:val="000000"/>
          <w:sz w:val="20"/>
          <w:szCs w:val="20"/>
        </w:rPr>
        <w:t>dez</w:t>
      </w:r>
      <w:r>
        <w:rPr>
          <w:rFonts w:eastAsia="Arial" w:cs="Arial" w:ascii="Arial" w:hAnsi="Arial"/>
          <w:color w:val="000000"/>
          <w:sz w:val="20"/>
          <w:szCs w:val="20"/>
        </w:rPr>
        <w:t xml:space="preserve"> por cento) por dia de atraso injustificado sobre o valor da parcela inadimplida, até o limite de </w:t>
      </w:r>
      <w:r>
        <w:rPr>
          <w:rFonts w:eastAsia="Arial" w:cs="Arial" w:ascii="Arial" w:hAnsi="Arial"/>
          <w:color w:val="000000"/>
          <w:sz w:val="20"/>
          <w:szCs w:val="20"/>
        </w:rPr>
        <w:t>30</w:t>
      </w:r>
      <w:r>
        <w:rPr>
          <w:rFonts w:eastAsia="Arial" w:cs="Arial" w:ascii="Arial" w:hAnsi="Arial"/>
          <w:color w:val="000000"/>
          <w:sz w:val="20"/>
          <w:szCs w:val="20"/>
        </w:rPr>
        <w:t xml:space="preserve"> (</w:t>
      </w:r>
      <w:r>
        <w:rPr>
          <w:rFonts w:eastAsia="Arial" w:cs="Arial" w:ascii="Arial" w:hAnsi="Arial"/>
          <w:color w:val="000000"/>
          <w:sz w:val="20"/>
          <w:szCs w:val="20"/>
        </w:rPr>
        <w:t>trinta</w:t>
      </w:r>
      <w:r>
        <w:rPr>
          <w:rFonts w:eastAsia="Arial" w:cs="Arial" w:ascii="Arial" w:hAnsi="Arial"/>
          <w:color w:val="000000"/>
          <w:sz w:val="20"/>
          <w:szCs w:val="20"/>
        </w:rPr>
        <w:t>)</w:t>
      </w:r>
      <w:r>
        <w:rPr>
          <w:rFonts w:eastAsia="Arial" w:cs="Arial" w:ascii="Arial" w:hAnsi="Arial"/>
          <w:color w:val="000000"/>
          <w:sz w:val="20"/>
          <w:szCs w:val="20"/>
        </w:rPr>
        <w:t xml:space="preserve"> </w:t>
      </w:r>
      <w:commentRangeStart w:id="22"/>
      <w:r>
        <w:rPr>
          <w:rFonts w:eastAsia="Arial" w:cs="Arial" w:ascii="Arial" w:hAnsi="Arial"/>
          <w:color w:val="000000"/>
          <w:sz w:val="20"/>
          <w:szCs w:val="20"/>
        </w:rPr>
        <w:t>dias</w:t>
      </w:r>
      <w:r>
        <w:rPr>
          <w:rFonts w:eastAsia="Arial" w:cs="Arial" w:ascii="Arial" w:hAnsi="Arial"/>
          <w:color w:val="000000"/>
          <w:sz w:val="20"/>
          <w:szCs w:val="20"/>
        </w:rPr>
      </w:r>
      <w:commentRangeEnd w:id="22"/>
      <w:r>
        <w:commentReference w:id="22"/>
      </w:r>
      <w:r>
        <w:rPr>
          <w:rFonts w:eastAsia="Arial" w:cs="Arial" w:ascii="Arial" w:hAnsi="Arial"/>
          <w:color w:val="000000"/>
          <w:sz w:val="20"/>
          <w:szCs w:val="20"/>
        </w:rPr>
        <w:t>;</w:t>
      </w:r>
    </w:p>
    <w:p>
      <w:pPr>
        <w:pStyle w:val="Normal"/>
        <w:numPr>
          <w:ilvl w:val="3"/>
          <w:numId w:val="8"/>
        </w:numPr>
        <w:suppressAutoHyphens w:val="true"/>
        <w:spacing w:lineRule="auto" w:line="312" w:before="120" w:after="288"/>
        <w:ind w:left="924" w:firstLine="709"/>
        <w:contextualSpacing/>
        <w:jc w:val="both"/>
        <w:rPr>
          <w:color w:val="000000"/>
        </w:rPr>
      </w:pPr>
      <w:r>
        <w:rPr>
          <w:rFonts w:eastAsia="Arial" w:cs="Arial" w:ascii="Arial" w:hAnsi="Arial"/>
          <w:i/>
          <w:iCs/>
          <w:color w:val="000000"/>
          <w:sz w:val="20"/>
          <w:szCs w:val="20"/>
        </w:rPr>
        <w:t>M</w:t>
      </w:r>
      <w:commentRangeStart w:id="23"/>
      <w:r>
        <w:rPr>
          <w:rFonts w:eastAsia="Arial" w:cs="Arial" w:ascii="Arial" w:hAnsi="Arial"/>
          <w:i/>
          <w:iCs/>
          <w:color w:val="000000"/>
          <w:sz w:val="20"/>
          <w:szCs w:val="20"/>
        </w:rPr>
        <w:t xml:space="preserve">oratória de 0,07% (sete centésimos por cento) do valor total do contrato por dia de atraso injustificado, até o máximo de 2% (dois por cento), pela inobservância do prazo fixado para apresentação, suplementação ou reposição da garantia. </w:t>
      </w:r>
    </w:p>
    <w:p>
      <w:pPr>
        <w:pStyle w:val="Normal"/>
        <w:numPr>
          <w:ilvl w:val="7"/>
          <w:numId w:val="8"/>
        </w:numPr>
        <w:suppressAutoHyphens w:val="true"/>
        <w:spacing w:lineRule="auto" w:line="312" w:before="120" w:after="288"/>
        <w:ind w:left="2268" w:firstLine="142"/>
        <w:contextualSpacing/>
        <w:jc w:val="both"/>
        <w:rPr/>
      </w:pPr>
      <w:r>
        <w:rPr>
          <w:rFonts w:eastAsia="Arial" w:cs="Arial" w:ascii="Arial" w:hAnsi="Arial"/>
          <w:i/>
          <w:iCs/>
          <w:color w:val="000000"/>
          <w:sz w:val="20"/>
          <w:szCs w:val="20"/>
        </w:rPr>
        <w:t xml:space="preserve">O atraso superior a 25 (vinte e cinco) dias autoriza a Administração a promover a extinção do contrato por descumprimento ou cumprimento irregular de suas cláusulas, conforme dispõe o </w:t>
      </w:r>
      <w:r>
        <w:fldChar w:fldCharType="begin"/>
      </w:r>
      <w:r>
        <w:rPr>
          <w:rStyle w:val="LinkdaInternet"/>
          <w:sz w:val="20"/>
          <w:i/>
          <w:szCs w:val="20"/>
          <w:iCs/>
          <w:rFonts w:eastAsia="Arial" w:cs="Arial" w:ascii="Arial" w:hAnsi="Arial"/>
          <w:color w:val="000000"/>
        </w:rPr>
        <w:instrText xml:space="preserve"> HYPERLINK "http://www.planalto.gov.br/ccivil_03/_ato2019-2022/2021/lei/L14133.htm" \l "art137"</w:instrText>
      </w:r>
      <w:r>
        <w:rPr>
          <w:rStyle w:val="LinkdaInternet"/>
          <w:sz w:val="20"/>
          <w:i/>
          <w:szCs w:val="20"/>
          <w:iCs/>
          <w:rFonts w:eastAsia="Arial" w:cs="Arial" w:ascii="Arial" w:hAnsi="Arial"/>
          <w:color w:val="000000"/>
        </w:rPr>
        <w:fldChar w:fldCharType="separate"/>
      </w:r>
      <w:r>
        <w:rPr>
          <w:rStyle w:val="LinkdaInternet"/>
          <w:rFonts w:eastAsia="Arial" w:cs="Arial" w:ascii="Arial" w:hAnsi="Arial"/>
          <w:i/>
          <w:iCs/>
          <w:color w:val="000000"/>
          <w:sz w:val="20"/>
          <w:szCs w:val="20"/>
        </w:rPr>
        <w:t>inciso I do art. 137 da Lei n. 14.133, de 2021</w:t>
      </w:r>
      <w:r>
        <w:rPr>
          <w:rStyle w:val="LinkdaInternet"/>
          <w:sz w:val="20"/>
          <w:i/>
          <w:szCs w:val="20"/>
          <w:iCs/>
          <w:rFonts w:eastAsia="Arial" w:cs="Arial" w:ascii="Arial" w:hAnsi="Arial"/>
          <w:color w:val="000000"/>
        </w:rPr>
        <w:fldChar w:fldCharType="end"/>
      </w:r>
      <w:r>
        <w:rPr>
          <w:rFonts w:eastAsia="Arial" w:cs="Arial" w:ascii="Arial" w:hAnsi="Arial"/>
          <w:i/>
          <w:iCs/>
          <w:color w:val="000000"/>
          <w:sz w:val="20"/>
          <w:szCs w:val="20"/>
        </w:rPr>
        <w:t xml:space="preserve">. </w:t>
      </w:r>
      <w:commentRangeEnd w:id="23"/>
      <w:r>
        <w:commentReference w:id="23"/>
      </w:r>
      <w:r>
        <w:rPr>
          <w:rFonts w:eastAsia="Arial" w:cs="Arial" w:ascii="Arial" w:hAnsi="Arial"/>
          <w:i/>
          <w:iCs/>
          <w:color w:val="000000"/>
          <w:sz w:val="20"/>
          <w:szCs w:val="20"/>
        </w:rPr>
      </w:r>
    </w:p>
    <w:p>
      <w:pPr>
        <w:pStyle w:val="Normal"/>
        <w:numPr>
          <w:ilvl w:val="3"/>
          <w:numId w:val="8"/>
        </w:numPr>
        <w:suppressAutoHyphens w:val="true"/>
        <w:spacing w:lineRule="auto" w:line="312" w:before="120" w:after="288"/>
        <w:ind w:left="924" w:firstLine="709"/>
        <w:contextualSpacing/>
        <w:jc w:val="both"/>
        <w:rPr>
          <w:rFonts w:ascii="Arial" w:hAnsi="Arial" w:eastAsia="Arial" w:cs="Arial"/>
          <w:sz w:val="20"/>
          <w:szCs w:val="20"/>
        </w:rPr>
      </w:pPr>
      <w:commentRangeStart w:id="24"/>
      <w:r>
        <w:rPr>
          <w:rFonts w:eastAsia="Arial" w:cs="Arial" w:ascii="Arial" w:hAnsi="Arial"/>
          <w:sz w:val="20"/>
          <w:szCs w:val="20"/>
        </w:rPr>
        <w:t xml:space="preserve">Compensatória, para as infrações descritas nas alíneas “e” a “h” do subitem 12.1, de </w:t>
      </w:r>
      <w:r>
        <w:rPr>
          <w:rFonts w:eastAsia="Arial" w:cs="Arial" w:ascii="Arial" w:hAnsi="Arial"/>
          <w:sz w:val="20"/>
          <w:szCs w:val="20"/>
          <w:shd w:fill="FFFF00" w:val="clear"/>
        </w:rPr>
        <w:t>10</w:t>
      </w:r>
      <w:r>
        <w:rPr>
          <w:rFonts w:eastAsia="Arial" w:cs="Arial" w:ascii="Arial" w:hAnsi="Arial"/>
          <w:sz w:val="20"/>
          <w:szCs w:val="20"/>
          <w:shd w:fill="FFFF00" w:val="clear"/>
        </w:rPr>
        <w:t xml:space="preserve">% a </w:t>
      </w:r>
      <w:r>
        <w:rPr>
          <w:rFonts w:eastAsia="Arial" w:cs="Arial" w:ascii="Arial" w:hAnsi="Arial"/>
          <w:sz w:val="20"/>
          <w:szCs w:val="20"/>
          <w:shd w:fill="FFFF00" w:val="clear"/>
        </w:rPr>
        <w:t>20</w:t>
      </w:r>
      <w:r>
        <w:rPr>
          <w:rFonts w:eastAsia="Arial" w:cs="Arial" w:ascii="Arial" w:hAnsi="Arial"/>
          <w:sz w:val="20"/>
          <w:szCs w:val="20"/>
          <w:shd w:fill="FFFF00" w:val="clear"/>
        </w:rPr>
        <w:t>%</w:t>
      </w:r>
      <w:r>
        <w:rPr>
          <w:rFonts w:eastAsia="Arial" w:cs="Arial" w:ascii="Arial" w:hAnsi="Arial"/>
          <w:sz w:val="20"/>
          <w:szCs w:val="20"/>
        </w:rPr>
        <w:t xml:space="preserve"> do valor do Contrato.</w:t>
      </w:r>
    </w:p>
    <w:p>
      <w:pPr>
        <w:pStyle w:val="Normal"/>
        <w:numPr>
          <w:ilvl w:val="3"/>
          <w:numId w:val="8"/>
        </w:numPr>
        <w:suppressAutoHyphens w:val="true"/>
        <w:spacing w:lineRule="auto" w:line="312" w:before="120" w:after="288"/>
        <w:ind w:left="924" w:firstLine="709"/>
        <w:contextualSpacing/>
        <w:jc w:val="both"/>
        <w:rPr>
          <w:rFonts w:ascii="Arial" w:hAnsi="Arial" w:eastAsia="Arial" w:cs="Arial"/>
          <w:sz w:val="20"/>
          <w:szCs w:val="20"/>
        </w:rPr>
      </w:pPr>
      <w:r>
        <w:rPr>
          <w:rFonts w:eastAsia="Arial" w:cs="Arial" w:ascii="Arial" w:hAnsi="Arial"/>
          <w:sz w:val="20"/>
          <w:szCs w:val="20"/>
        </w:rPr>
        <w:t xml:space="preserve">Compensatória, para a inexecução total do contrato prevista na alínea “c” do subitem 12.1, de </w:t>
      </w:r>
      <w:r>
        <w:rPr>
          <w:rFonts w:eastAsia="Arial" w:cs="Arial" w:ascii="Arial" w:hAnsi="Arial"/>
          <w:sz w:val="20"/>
          <w:szCs w:val="20"/>
          <w:shd w:fill="FFFF00" w:val="clear"/>
        </w:rPr>
        <w:t>5</w:t>
      </w:r>
      <w:r>
        <w:rPr>
          <w:rFonts w:eastAsia="Arial" w:cs="Arial" w:ascii="Arial" w:hAnsi="Arial"/>
          <w:sz w:val="20"/>
          <w:szCs w:val="20"/>
          <w:shd w:fill="FFFF00" w:val="clear"/>
        </w:rPr>
        <w:t xml:space="preserve">% a </w:t>
      </w:r>
      <w:r>
        <w:rPr>
          <w:rFonts w:eastAsia="Arial" w:cs="Arial" w:ascii="Arial" w:hAnsi="Arial"/>
          <w:sz w:val="20"/>
          <w:szCs w:val="20"/>
          <w:shd w:fill="FFFF00" w:val="clear"/>
        </w:rPr>
        <w:t>10</w:t>
      </w:r>
      <w:r>
        <w:rPr>
          <w:rFonts w:eastAsia="Arial" w:cs="Arial" w:ascii="Arial" w:hAnsi="Arial"/>
          <w:sz w:val="20"/>
          <w:szCs w:val="20"/>
          <w:shd w:fill="FFFF00" w:val="clear"/>
        </w:rPr>
        <w:t>%</w:t>
      </w:r>
      <w:r>
        <w:rPr>
          <w:rFonts w:eastAsia="Arial" w:cs="Arial" w:ascii="Arial" w:hAnsi="Arial"/>
          <w:sz w:val="20"/>
          <w:szCs w:val="20"/>
        </w:rPr>
        <w:t xml:space="preserve">  do valor do Contrato. </w:t>
      </w:r>
    </w:p>
    <w:p>
      <w:pPr>
        <w:pStyle w:val="Normal"/>
        <w:numPr>
          <w:ilvl w:val="3"/>
          <w:numId w:val="8"/>
        </w:numPr>
        <w:suppressAutoHyphens w:val="true"/>
        <w:spacing w:lineRule="auto" w:line="312" w:before="120" w:after="288"/>
        <w:ind w:left="924" w:firstLine="709"/>
        <w:contextualSpacing/>
        <w:jc w:val="both"/>
        <w:rPr>
          <w:rFonts w:ascii="Arial" w:hAnsi="Arial" w:eastAsia="Arial" w:cs="Arial"/>
          <w:sz w:val="20"/>
          <w:szCs w:val="20"/>
        </w:rPr>
      </w:pPr>
      <w:r>
        <w:rPr>
          <w:rFonts w:eastAsia="Arial" w:cs="Arial" w:ascii="Arial" w:hAnsi="Arial"/>
          <w:sz w:val="20"/>
          <w:szCs w:val="20"/>
        </w:rPr>
        <w:t xml:space="preserve">Para infração descrita na alínea “b” do subitem 12.1, a multa será de </w:t>
      </w:r>
      <w:r>
        <w:rPr>
          <w:rFonts w:eastAsia="Arial" w:cs="Arial" w:ascii="Arial" w:hAnsi="Arial"/>
          <w:sz w:val="20"/>
          <w:szCs w:val="20"/>
          <w:shd w:fill="FFFF00" w:val="clear"/>
        </w:rPr>
        <w:t>5</w:t>
      </w:r>
      <w:r>
        <w:rPr>
          <w:rFonts w:eastAsia="Arial" w:cs="Arial" w:ascii="Arial" w:hAnsi="Arial"/>
          <w:sz w:val="20"/>
          <w:szCs w:val="20"/>
          <w:shd w:fill="FFFF00" w:val="clear"/>
        </w:rPr>
        <w:t xml:space="preserve">% a </w:t>
      </w:r>
      <w:r>
        <w:rPr>
          <w:rFonts w:eastAsia="Arial" w:cs="Arial" w:ascii="Arial" w:hAnsi="Arial"/>
          <w:sz w:val="20"/>
          <w:szCs w:val="20"/>
          <w:shd w:fill="FFFF00" w:val="clear"/>
        </w:rPr>
        <w:t>10</w:t>
      </w:r>
      <w:r>
        <w:rPr>
          <w:rFonts w:eastAsia="Arial" w:cs="Arial" w:ascii="Arial" w:hAnsi="Arial"/>
          <w:sz w:val="20"/>
          <w:szCs w:val="20"/>
          <w:shd w:fill="FFFF00" w:val="clear"/>
        </w:rPr>
        <w:t xml:space="preserve">% </w:t>
      </w:r>
      <w:r>
        <w:rPr>
          <w:rFonts w:eastAsia="Arial" w:cs="Arial" w:ascii="Arial" w:hAnsi="Arial"/>
          <w:sz w:val="20"/>
          <w:szCs w:val="20"/>
        </w:rPr>
        <w:t xml:space="preserve"> do valor do Contrato.</w:t>
      </w:r>
    </w:p>
    <w:p>
      <w:pPr>
        <w:pStyle w:val="Normal"/>
        <w:numPr>
          <w:ilvl w:val="3"/>
          <w:numId w:val="8"/>
        </w:numPr>
        <w:suppressAutoHyphens w:val="true"/>
        <w:spacing w:lineRule="auto" w:line="312" w:before="120" w:after="288"/>
        <w:ind w:left="924" w:firstLine="709"/>
        <w:contextualSpacing/>
        <w:jc w:val="both"/>
        <w:rPr>
          <w:rFonts w:ascii="Arial" w:hAnsi="Arial" w:eastAsia="Arial" w:cs="Arial"/>
          <w:sz w:val="20"/>
          <w:szCs w:val="20"/>
        </w:rPr>
      </w:pPr>
      <w:r>
        <w:rPr>
          <w:rFonts w:eastAsia="Arial" w:cs="Arial" w:ascii="Arial" w:hAnsi="Arial"/>
          <w:sz w:val="20"/>
          <w:szCs w:val="20"/>
        </w:rPr>
        <w:t xml:space="preserve">Para infrações descritas na alínea “d” do subitem 12.1, a multa será de </w:t>
      </w:r>
      <w:r>
        <w:rPr>
          <w:rFonts w:eastAsia="Arial" w:cs="Arial" w:ascii="Arial" w:hAnsi="Arial"/>
          <w:sz w:val="20"/>
          <w:szCs w:val="20"/>
          <w:shd w:fill="FFFF00" w:val="clear"/>
        </w:rPr>
        <w:t>5</w:t>
      </w:r>
      <w:r>
        <w:rPr>
          <w:rFonts w:eastAsia="Arial" w:cs="Arial" w:ascii="Arial" w:hAnsi="Arial"/>
          <w:sz w:val="20"/>
          <w:szCs w:val="20"/>
          <w:shd w:fill="FFFF00" w:val="clear"/>
        </w:rPr>
        <w:t xml:space="preserve">% a </w:t>
      </w:r>
      <w:r>
        <w:rPr>
          <w:rFonts w:eastAsia="Arial" w:cs="Arial" w:ascii="Arial" w:hAnsi="Arial"/>
          <w:sz w:val="20"/>
          <w:szCs w:val="20"/>
          <w:shd w:fill="FFFF00" w:val="clear"/>
        </w:rPr>
        <w:t>10</w:t>
      </w:r>
      <w:r>
        <w:rPr>
          <w:rFonts w:eastAsia="Arial" w:cs="Arial" w:ascii="Arial" w:hAnsi="Arial"/>
          <w:sz w:val="20"/>
          <w:szCs w:val="20"/>
          <w:shd w:fill="FFFF00" w:val="clear"/>
        </w:rPr>
        <w:t>%</w:t>
      </w:r>
      <w:r>
        <w:rPr>
          <w:rFonts w:eastAsia="Arial" w:cs="Arial" w:ascii="Arial" w:hAnsi="Arial"/>
          <w:sz w:val="20"/>
          <w:szCs w:val="20"/>
        </w:rPr>
        <w:t xml:space="preserve">  do valor do Contrato.</w:t>
      </w:r>
    </w:p>
    <w:p>
      <w:pPr>
        <w:pStyle w:val="Normal"/>
        <w:numPr>
          <w:ilvl w:val="3"/>
          <w:numId w:val="8"/>
        </w:numPr>
        <w:suppressAutoHyphens w:val="true"/>
        <w:spacing w:lineRule="auto" w:line="312" w:before="120" w:after="288"/>
        <w:ind w:left="924" w:firstLine="709"/>
        <w:contextualSpacing/>
        <w:jc w:val="both"/>
        <w:rPr>
          <w:rFonts w:ascii="Arial" w:hAnsi="Arial" w:eastAsia="Arial" w:cs="Arial"/>
          <w:sz w:val="20"/>
          <w:szCs w:val="20"/>
        </w:rPr>
      </w:pPr>
      <w:r>
        <w:rPr>
          <w:rFonts w:eastAsia="Arial" w:cs="Arial" w:ascii="Arial" w:hAnsi="Arial"/>
          <w:sz w:val="20"/>
          <w:szCs w:val="20"/>
        </w:rPr>
        <w:t xml:space="preserve">Para a infração descrita na alínea “a” do subitem 12.1, a multa será de </w:t>
      </w:r>
      <w:r>
        <w:rPr>
          <w:rFonts w:eastAsia="Arial" w:cs="Arial" w:ascii="Arial" w:hAnsi="Arial"/>
          <w:sz w:val="20"/>
          <w:szCs w:val="20"/>
          <w:shd w:fill="FFFF00" w:val="clear"/>
        </w:rPr>
        <w:t>10</w:t>
      </w:r>
      <w:r>
        <w:rPr>
          <w:rFonts w:eastAsia="Arial" w:cs="Arial" w:ascii="Arial" w:hAnsi="Arial"/>
          <w:sz w:val="20"/>
          <w:szCs w:val="20"/>
          <w:shd w:fill="FFFF00" w:val="clear"/>
        </w:rPr>
        <w:t xml:space="preserve">% a </w:t>
      </w:r>
      <w:r>
        <w:rPr>
          <w:rFonts w:eastAsia="Arial" w:cs="Arial" w:ascii="Arial" w:hAnsi="Arial"/>
          <w:sz w:val="20"/>
          <w:szCs w:val="20"/>
          <w:shd w:fill="FFFF00" w:val="clear"/>
        </w:rPr>
        <w:t>20</w:t>
      </w:r>
      <w:r>
        <w:rPr>
          <w:rFonts w:eastAsia="Arial" w:cs="Arial" w:ascii="Arial" w:hAnsi="Arial"/>
          <w:sz w:val="20"/>
          <w:szCs w:val="20"/>
          <w:shd w:fill="FFFF00" w:val="clear"/>
        </w:rPr>
        <w:t>%</w:t>
      </w:r>
      <w:r>
        <w:rPr>
          <w:rFonts w:eastAsia="Arial" w:cs="Arial" w:ascii="Arial" w:hAnsi="Arial"/>
          <w:sz w:val="20"/>
          <w:szCs w:val="20"/>
        </w:rPr>
        <w:t xml:space="preserve"> do valor do Contrato, ressalvadas as seguintes infrações:</w:t>
      </w:r>
      <w:commentRangeEnd w:id="24"/>
      <w:r>
        <w:commentReference w:id="24"/>
      </w:r>
      <w:r>
        <w:rPr>
          <w:rFonts w:eastAsia="Arial" w:cs="Arial" w:ascii="Arial" w:hAnsi="Arial"/>
          <w:sz w:val="20"/>
          <w:szCs w:val="20"/>
        </w:rPr>
      </w:r>
    </w:p>
    <w:p>
      <w:pPr>
        <w:pStyle w:val="Normal"/>
        <w:suppressAutoHyphens w:val="true"/>
        <w:spacing w:lineRule="auto" w:line="312" w:before="120" w:after="288"/>
        <w:ind w:left="1633" w:hanging="0"/>
        <w:contextualSpacing/>
        <w:jc w:val="both"/>
        <w:rPr>
          <w:rFonts w:ascii="Arial" w:hAnsi="Arial" w:eastAsia="Arial" w:cs="Arial"/>
          <w:i/>
          <w:i/>
          <w:color w:val="FF0000"/>
          <w:sz w:val="20"/>
          <w:szCs w:val="20"/>
        </w:rPr>
      </w:pPr>
      <w:r>
        <w:rPr>
          <w:rFonts w:eastAsia="Arial" w:cs="Arial" w:ascii="Arial" w:hAnsi="Arial"/>
          <w:i/>
          <w:color w:val="FF0000"/>
          <w:sz w:val="20"/>
          <w:szCs w:val="20"/>
        </w:rPr>
        <w:commentReference w:id="25"/>
      </w:r>
    </w:p>
    <w:p>
      <w:pPr>
        <w:pStyle w:val="Nivel2"/>
        <w:numPr>
          <w:ilvl w:val="1"/>
          <w:numId w:val="143"/>
        </w:numPr>
        <w:spacing w:lineRule="auto" w:line="312" w:before="120" w:after="288"/>
        <w:ind w:left="0" w:firstLine="567"/>
        <w:rPr/>
      </w:pPr>
      <w:r>
        <w:rPr/>
        <w:t>A aplicação das sanções previstas neste Contrato não exclui, em hipótese alguma, a obrigação de reparação integral do dano causado ao Contratante (</w:t>
      </w:r>
      <w:r>
        <w:fldChar w:fldCharType="begin"/>
      </w:r>
      <w:r>
        <w:rPr>
          <w:rStyle w:val="LinkdaInternet"/>
        </w:rPr>
        <w:instrText xml:space="preserve">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144"/>
        </w:numPr>
        <w:spacing w:lineRule="auto" w:line="312" w:before="120" w:after="288"/>
        <w:ind w:left="0" w:firstLine="567"/>
        <w:rPr/>
      </w:pPr>
      <w:r>
        <w:rPr/>
        <w:t>Todas as sanções previstas neste Contrato poderão ser aplicadas cumulativamente com a multa (</w:t>
      </w:r>
      <w:r>
        <w:fldChar w:fldCharType="begin"/>
      </w:r>
      <w:r>
        <w:rPr>
          <w:rStyle w:val="LinkdaInternet"/>
        </w:rPr>
        <w:instrText xml:space="preserve">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45"/>
        </w:numPr>
        <w:spacing w:lineRule="auto" w:line="312" w:before="120" w:after="288"/>
        <w:ind w:left="170" w:firstLine="709"/>
        <w:rPr/>
      </w:pPr>
      <w:r>
        <w:rPr/>
        <w:t>Antes da aplicação da multa será facultada a defesa do interessado no prazo de 15 (quinze) dias úteis, contado da data de sua intimação (</w:t>
      </w:r>
      <w:r>
        <w:fldChar w:fldCharType="begin"/>
      </w:r>
      <w:r>
        <w:rPr>
          <w:rStyle w:val="LinkdaInternet"/>
        </w:rPr>
        <w:instrText xml:space="preserve">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46"/>
        </w:numPr>
        <w:spacing w:lineRule="auto" w:line="312" w:before="120" w:after="288"/>
        <w:ind w:left="170" w:firstLine="709"/>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xml:space="preserve">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47"/>
        </w:numPr>
        <w:spacing w:lineRule="auto" w:line="312" w:before="120" w:after="288"/>
        <w:ind w:left="170" w:firstLine="709"/>
        <w:rPr/>
      </w:pPr>
      <w:r>
        <w:rPr/>
        <w:t xml:space="preserve">Previamente ao encaminhamento à cobrança judicial, a multa poderá ser recolhida administrativamente no prazo máximo de </w:t>
      </w:r>
      <w:r>
        <w:rPr/>
        <w:t>30</w:t>
      </w:r>
      <w:r>
        <w:rPr>
          <w:i/>
          <w:iCs/>
          <w:color w:val="000000"/>
        </w:rPr>
        <w:t xml:space="preserve"> (</w:t>
      </w:r>
      <w:r>
        <w:rPr>
          <w:i/>
          <w:iCs/>
          <w:color w:val="000000"/>
        </w:rPr>
        <w:t>trinta</w:t>
      </w:r>
      <w:r>
        <w:rPr>
          <w:i/>
          <w:iCs/>
          <w:color w:val="000000"/>
        </w:rPr>
        <w:t xml:space="preserve">) </w:t>
      </w:r>
      <w:r>
        <w:rPr/>
        <w:t>dias, a contar da data do recebimento da comunicação enviada pela autoridade competente.</w:t>
      </w:r>
      <w:bookmarkStart w:id="11" w:name="_Hlk78351618"/>
      <w:bookmarkEnd w:id="11"/>
    </w:p>
    <w:p>
      <w:pPr>
        <w:pStyle w:val="Nivel2"/>
        <w:numPr>
          <w:ilvl w:val="1"/>
          <w:numId w:val="148"/>
        </w:numPr>
        <w:spacing w:lineRule="auto" w:line="312" w:before="120" w:after="288"/>
        <w:ind w:left="0" w:firstLine="567"/>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xml:space="preserve">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49"/>
        </w:numPr>
        <w:spacing w:lineRule="auto" w:line="312" w:before="120" w:after="288"/>
        <w:ind w:left="0" w:firstLine="567"/>
        <w:rPr/>
      </w:pPr>
      <w:r>
        <w:rPr/>
        <w:t>Na aplicação das sanções serão considerados (</w:t>
      </w:r>
      <w:r>
        <w:fldChar w:fldCharType="begin"/>
      </w:r>
      <w:r>
        <w:rPr>
          <w:rStyle w:val="LinkdaInternet"/>
        </w:rPr>
        <w:instrText xml:space="preserve">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50"/>
        </w:numPr>
        <w:spacing w:lineRule="auto" w:line="312" w:before="120" w:after="288"/>
        <w:ind w:left="0" w:firstLine="567"/>
        <w:rPr/>
      </w:pPr>
      <w:r>
        <w:rPr/>
        <w:t xml:space="preserve">Os atos previstos como infrações administrativas na </w:t>
      </w:r>
      <w:hyperlink r:id="rId16">
        <w:r>
          <w:rPr>
            <w:rStyle w:val="LinkdaInternet"/>
          </w:rPr>
          <w:t>Lei nº 14.133, de 2021</w:t>
        </w:r>
      </w:hyperlink>
      <w:r>
        <w:rPr/>
        <w:t xml:space="preserve">, ou em outras leis de licitações e contratos da Administração Pública que também sejam tipificados como atos lesivos </w:t>
      </w:r>
      <w:hyperlink r:id="rId17">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xml:space="preserve">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151"/>
        </w:numPr>
        <w:spacing w:lineRule="auto" w:line="312" w:before="120" w:after="288"/>
        <w:ind w:left="0" w:firstLine="567"/>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52"/>
        </w:numPr>
        <w:spacing w:lineRule="auto" w:line="312" w:before="120" w:after="288"/>
        <w:ind w:left="0" w:firstLine="567"/>
        <w:rPr>
          <w:i/>
          <w:i/>
          <w:iCs/>
        </w:rPr>
      </w:pPr>
      <w:r>
        <w:rPr/>
        <w:t xml:space="preserve"> </w:t>
      </w:r>
      <w:r>
        <w:rPr/>
        <w:t xml:space="preserve">O Contratante deverá, no prazo máximo de 15 (quinze) dias úteis, contado da data de aplicação da sanção, informar e manter atualizados os dados relativos às sanções por ela aplicadas, para fins de publicidade no </w:t>
      </w:r>
      <w:hyperlink r:id="rId18">
        <w:r>
          <w:rPr>
            <w:rStyle w:val="LinkdaInternet"/>
          </w:rPr>
          <w:t>Cadastro Nacional de Empresas Inidôneas e Suspensas (Ceis)</w:t>
        </w:r>
      </w:hyperlink>
      <w:r>
        <w:rPr/>
        <w:t xml:space="preserve">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53"/>
        </w:numPr>
        <w:spacing w:lineRule="auto" w:line="312" w:before="120" w:after="288"/>
        <w:ind w:left="0" w:firstLine="567"/>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xml:space="preserve">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154"/>
        </w:numPr>
        <w:spacing w:lineRule="auto" w:line="312" w:before="120" w:after="288"/>
        <w:ind w:left="0" w:firstLine="567"/>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9">
        <w:r>
          <w:rPr>
            <w:rStyle w:val="LinkdaInternet"/>
          </w:rPr>
          <w:t>Instrução Normativa SEGES/ME nº 26, de 13 de abril de 2022</w:t>
        </w:r>
      </w:hyperlink>
      <w:r>
        <w:rPr/>
        <w:t xml:space="preserve">. </w:t>
      </w:r>
    </w:p>
    <w:p>
      <w:pPr>
        <w:pStyle w:val="Nivel01"/>
        <w:numPr>
          <w:ilvl w:val="0"/>
          <w:numId w:val="155"/>
        </w:numPr>
        <w:spacing w:lineRule="auto" w:line="312" w:before="120" w:after="288"/>
        <w:ind w:left="0" w:hanging="0"/>
        <w:rPr>
          <w:color w:val="FFFFFF" w:themeColor="background1"/>
        </w:rPr>
      </w:pPr>
      <w:commentRangeStart w:id="26"/>
      <w:r>
        <w:rPr/>
        <w:t>CLÁUSULA DÉCIMA TERCEIRA –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commentRangeEnd w:id="26"/>
      <w:r>
        <w:commentReference w:id="26"/>
      </w:r>
      <w:r>
        <w:rPr/>
      </w:r>
    </w:p>
    <w:p>
      <w:pPr>
        <w:pStyle w:val="Nivel2"/>
        <w:numPr>
          <w:ilvl w:val="1"/>
          <w:numId w:val="156"/>
        </w:numPr>
        <w:spacing w:lineRule="auto" w:line="312" w:before="120" w:after="288"/>
        <w:ind w:left="0" w:firstLine="567"/>
        <w:rPr>
          <w:color w:val="000000"/>
        </w:rPr>
      </w:pPr>
      <w:r>
        <w:rPr>
          <w:i/>
          <w:color w:val="000000"/>
        </w:rPr>
        <w:t>O contrato será extinto quando cumpridas as obrigações de ambas as partes, ainda que isso ocorra antes do prazo estipulado para tanto.</w:t>
      </w:r>
    </w:p>
    <w:p>
      <w:pPr>
        <w:pStyle w:val="Nivel2"/>
        <w:numPr>
          <w:ilvl w:val="1"/>
          <w:numId w:val="157"/>
        </w:numPr>
        <w:spacing w:lineRule="auto" w:line="312" w:before="120" w:after="288"/>
        <w:ind w:left="0" w:firstLine="567"/>
        <w:rPr/>
      </w:pPr>
      <w:r>
        <w:rPr>
          <w:i/>
          <w:color w:val="000000"/>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158"/>
        </w:numPr>
        <w:spacing w:lineRule="auto" w:line="312" w:before="120" w:after="288"/>
        <w:ind w:left="0" w:firstLine="567"/>
        <w:rPr>
          <w:color w:val="000000"/>
        </w:rPr>
      </w:pPr>
      <w:r>
        <w:rPr>
          <w:i/>
          <w:color w:val="000000"/>
        </w:rPr>
        <w:t>Quando a não conclusão do contrato referida no item anterior decorrer de culpa do contratado:</w:t>
      </w:r>
    </w:p>
    <w:p>
      <w:pPr>
        <w:pStyle w:val="ListParagraph"/>
        <w:numPr>
          <w:ilvl w:val="0"/>
          <w:numId w:val="5"/>
        </w:numPr>
        <w:suppressAutoHyphens w:val="true"/>
        <w:spacing w:lineRule="auto" w:line="312" w:before="120" w:after="288"/>
        <w:ind w:left="284" w:firstLine="709"/>
        <w:contextualSpacing/>
        <w:jc w:val="both"/>
        <w:rPr>
          <w:color w:val="000000"/>
        </w:rPr>
      </w:pPr>
      <w:r>
        <w:rPr>
          <w:rFonts w:eastAsia="Arial" w:cs="Arial" w:ascii="Arial" w:hAnsi="Arial"/>
          <w:i/>
          <w:iCs/>
          <w:color w:val="000000"/>
          <w:sz w:val="20"/>
          <w:szCs w:val="20"/>
        </w:rPr>
        <w:t>ficará ele constituído em mora, sendo-lhe aplicáveis as respectivas sanções administrativas; e</w:t>
      </w:r>
    </w:p>
    <w:p>
      <w:pPr>
        <w:pStyle w:val="ListParagraph"/>
        <w:numPr>
          <w:ilvl w:val="0"/>
          <w:numId w:val="5"/>
        </w:numPr>
        <w:suppressAutoHyphens w:val="true"/>
        <w:spacing w:lineRule="auto" w:line="312" w:before="120" w:after="288"/>
        <w:ind w:left="284" w:firstLine="709"/>
        <w:contextualSpacing/>
        <w:jc w:val="both"/>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p>
    <w:p>
      <w:pPr>
        <w:pStyle w:val="Nivel2"/>
        <w:numPr>
          <w:ilvl w:val="1"/>
          <w:numId w:val="159"/>
        </w:numPr>
        <w:spacing w:lineRule="auto" w:line="312" w:before="120" w:after="288"/>
        <w:ind w:left="0" w:firstLine="567"/>
        <w:rPr/>
      </w:pPr>
      <w:r>
        <w:rPr/>
        <w:t xml:space="preserve">O contrato poderá ser extinto antes de cumpridas as obrigações nele estipuladas, ou antes do prazo nele fixado, por algum dos motivos previstos no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160"/>
        </w:numPr>
        <w:spacing w:lineRule="auto" w:line="312" w:before="120" w:after="288"/>
        <w:ind w:left="170" w:firstLine="709"/>
        <w:rPr/>
      </w:pPr>
      <w:r>
        <w:rPr/>
        <w:t xml:space="preserve">Nesta hipótese, aplicam-se também os </w:t>
      </w:r>
      <w:r>
        <w:fldChar w:fldCharType="begin"/>
      </w:r>
      <w:r>
        <w:rPr>
          <w:rStyle w:val="LinkdaInternet"/>
        </w:rPr>
        <w:instrText xml:space="preserve">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3"/>
        <w:numPr>
          <w:ilvl w:val="2"/>
          <w:numId w:val="161"/>
        </w:numPr>
        <w:spacing w:lineRule="auto" w:line="312" w:before="120" w:after="288"/>
        <w:ind w:left="170" w:firstLine="709"/>
        <w:rPr/>
      </w:pPr>
      <w:r>
        <w:rPr/>
        <w:t xml:space="preserve">A </w:t>
      </w:r>
      <w:r>
        <w:rPr>
          <w:color w:val="000000" w:themeColor="text1"/>
        </w:rPr>
        <w:t>alteração social ou a modificação da finalidade ou da estrutura da empresa</w:t>
      </w:r>
      <w:r>
        <w:rPr/>
        <w:t xml:space="preserve"> não ensejará a extinção se não </w:t>
      </w:r>
      <w:r>
        <w:rPr>
          <w:color w:val="000000" w:themeColor="text1"/>
        </w:rPr>
        <w:t>restringir sua capacidade de concluir o contrato.</w:t>
      </w:r>
    </w:p>
    <w:p>
      <w:pPr>
        <w:pStyle w:val="Nivel4"/>
        <w:numPr>
          <w:ilvl w:val="3"/>
          <w:numId w:val="162"/>
        </w:numPr>
        <w:spacing w:lineRule="auto" w:line="312" w:before="120" w:after="288"/>
        <w:ind w:left="284" w:firstLine="709"/>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163"/>
        </w:numPr>
        <w:spacing w:lineRule="auto" w:line="312" w:before="120" w:after="288"/>
        <w:ind w:left="0" w:firstLine="567"/>
        <w:rPr/>
      </w:pPr>
      <w:r>
        <w:rPr/>
        <w:t>O termo de extinção, sempre que possível, será precedido:</w:t>
      </w:r>
    </w:p>
    <w:p>
      <w:pPr>
        <w:pStyle w:val="Nivel3"/>
        <w:numPr>
          <w:ilvl w:val="2"/>
          <w:numId w:val="164"/>
        </w:numPr>
        <w:spacing w:lineRule="auto" w:line="312" w:before="120" w:after="288"/>
        <w:ind w:left="170" w:firstLine="709"/>
        <w:rPr/>
      </w:pPr>
      <w:r>
        <w:rPr/>
        <w:t>Balanço dos eventos contratuais já cumpridos ou parcialmente cumpridos;</w:t>
      </w:r>
    </w:p>
    <w:p>
      <w:pPr>
        <w:pStyle w:val="Nivel3"/>
        <w:numPr>
          <w:ilvl w:val="2"/>
          <w:numId w:val="165"/>
        </w:numPr>
        <w:spacing w:lineRule="auto" w:line="312" w:before="120" w:after="288"/>
        <w:ind w:left="170" w:firstLine="709"/>
        <w:rPr/>
      </w:pPr>
      <w:r>
        <w:rPr/>
        <w:t>Relação dos pagamentos já efetuados e ainda devidos;</w:t>
      </w:r>
    </w:p>
    <w:p>
      <w:pPr>
        <w:pStyle w:val="Nivel3"/>
        <w:numPr>
          <w:ilvl w:val="2"/>
          <w:numId w:val="166"/>
        </w:numPr>
        <w:spacing w:lineRule="auto" w:line="312" w:before="120" w:after="288"/>
        <w:ind w:left="170" w:firstLine="709"/>
        <w:rPr/>
      </w:pPr>
      <w:r>
        <w:rPr/>
        <w:t>Indenizações e multas.</w:t>
      </w:r>
    </w:p>
    <w:p>
      <w:pPr>
        <w:pStyle w:val="Nivel2"/>
        <w:numPr>
          <w:ilvl w:val="1"/>
          <w:numId w:val="167"/>
        </w:numPr>
        <w:spacing w:lineRule="auto" w:line="312" w:before="120" w:after="288"/>
        <w:ind w:left="0" w:firstLine="567"/>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68"/>
        </w:numPr>
        <w:ind w:left="0" w:firstLine="709"/>
        <w:rPr>
          <w:highlight w:val="none"/>
          <w:shd w:fill="auto" w:val="clear"/>
        </w:rPr>
      </w:pPr>
      <w:r>
        <w:rPr>
          <w:shd w:fill="auto" w:val="clear"/>
        </w:rPr>
        <w:t>O contrato poderá ser extinto:</w:t>
      </w:r>
    </w:p>
    <w:p>
      <w:pPr>
        <w:pStyle w:val="Nivel3"/>
        <w:numPr>
          <w:ilvl w:val="2"/>
          <w:numId w:val="169"/>
        </w:numPr>
        <w:spacing w:lineRule="auto" w:line="312" w:before="120" w:after="288"/>
        <w:ind w:left="170" w:firstLine="709"/>
        <w:rPr>
          <w:highlight w:val="none"/>
          <w:shd w:fill="auto" w:val="clear"/>
        </w:rPr>
      </w:pPr>
      <w:r>
        <w:rPr>
          <w:shd w:fill="auto" w:val="clear"/>
        </w:rPr>
        <w:t>caso se constate que o contratado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pPr>
        <w:pStyle w:val="Nivel3"/>
        <w:numPr>
          <w:ilvl w:val="2"/>
          <w:numId w:val="170"/>
        </w:numPr>
        <w:spacing w:lineRule="auto" w:line="312" w:before="120" w:after="288"/>
        <w:ind w:left="170" w:firstLine="709"/>
        <w:rPr>
          <w:highlight w:val="none"/>
          <w:shd w:fill="auto" w:val="clear"/>
        </w:rPr>
      </w:pPr>
      <w:r>
        <w:rPr>
          <w:shd w:fill="auto" w:val="clear"/>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ivel2"/>
        <w:numPr>
          <w:ilvl w:val="0"/>
          <w:numId w:val="0"/>
        </w:numPr>
        <w:ind w:left="0" w:hanging="0"/>
        <w:rPr>
          <w:highlight w:val="green"/>
        </w:rPr>
      </w:pPr>
      <w:r>
        <w:rPr>
          <w:highlight w:val="green"/>
        </w:rPr>
      </w:r>
    </w:p>
    <w:p>
      <w:pPr>
        <w:pStyle w:val="Nivel01"/>
        <w:numPr>
          <w:ilvl w:val="0"/>
          <w:numId w:val="171"/>
        </w:numPr>
        <w:spacing w:lineRule="auto" w:line="312" w:before="120" w:after="288"/>
        <w:ind w:left="0" w:hanging="0"/>
        <w:rPr>
          <w:color w:val="FFFFFF" w:themeColor="background1"/>
        </w:rPr>
      </w:pPr>
      <w:r>
        <w:rPr/>
        <w:t>CLÁUSULA DÉCIMA QUARTA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172"/>
        </w:numPr>
        <w:spacing w:lineRule="auto" w:line="312" w:before="120" w:after="288"/>
        <w:ind w:left="0" w:firstLine="567"/>
        <w:rPr/>
      </w:pPr>
      <w:r>
        <w:rPr/>
        <w:t>As despesas decorrentes da presente contratação correrão à conta de recursos específicos consignados no Orçamento Geral da União deste exercício, na dotação abaixo discriminada:</w:t>
      </w:r>
    </w:p>
    <w:p>
      <w:pPr>
        <w:pStyle w:val="Normal"/>
        <w:numPr>
          <w:ilvl w:val="1"/>
          <w:numId w:val="6"/>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sz w:val="20"/>
          <w:szCs w:val="20"/>
          <w:shd w:fill="FFFF00" w:val="clear"/>
        </w:rPr>
        <w:t>XXXXXXXXXX</w:t>
      </w:r>
    </w:p>
    <w:p>
      <w:pPr>
        <w:pStyle w:val="Normal"/>
        <w:numPr>
          <w:ilvl w:val="1"/>
          <w:numId w:val="6"/>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sz w:val="20"/>
          <w:szCs w:val="20"/>
          <w:shd w:fill="FFFF00" w:val="clear"/>
        </w:rPr>
        <w:t>XXXXXXXXXX</w:t>
      </w:r>
    </w:p>
    <w:p>
      <w:pPr>
        <w:pStyle w:val="Normal"/>
        <w:numPr>
          <w:ilvl w:val="1"/>
          <w:numId w:val="6"/>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sz w:val="20"/>
          <w:szCs w:val="20"/>
          <w:shd w:fill="FFFF00" w:val="clear"/>
        </w:rPr>
        <w:t>XXXXXXXXXX</w:t>
      </w:r>
    </w:p>
    <w:p>
      <w:pPr>
        <w:pStyle w:val="Normal"/>
        <w:numPr>
          <w:ilvl w:val="1"/>
          <w:numId w:val="6"/>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sz w:val="20"/>
          <w:szCs w:val="20"/>
          <w:shd w:fill="FFFF00" w:val="clear"/>
        </w:rPr>
        <w:t>XXXXXXXXXX</w:t>
      </w:r>
    </w:p>
    <w:p>
      <w:pPr>
        <w:pStyle w:val="Normal"/>
        <w:numPr>
          <w:ilvl w:val="1"/>
          <w:numId w:val="6"/>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Plano Interno:  </w:t>
      </w:r>
      <w:r>
        <w:rPr>
          <w:rFonts w:eastAsia="Arial" w:cs="Arial" w:ascii="Arial" w:hAnsi="Arial"/>
          <w:sz w:val="20"/>
          <w:szCs w:val="20"/>
          <w:shd w:fill="FFFF00" w:val="clear"/>
        </w:rPr>
        <w:t>XXXXXXXXXX</w:t>
      </w:r>
    </w:p>
    <w:p>
      <w:pPr>
        <w:pStyle w:val="Normal"/>
        <w:numPr>
          <w:ilvl w:val="1"/>
          <w:numId w:val="6"/>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Nota de Empenho: </w:t>
      </w:r>
      <w:r>
        <w:rPr>
          <w:rFonts w:eastAsia="Arial" w:cs="Arial" w:ascii="Arial" w:hAnsi="Arial"/>
          <w:sz w:val="20"/>
          <w:szCs w:val="20"/>
          <w:shd w:fill="FFFF00" w:val="clear"/>
        </w:rPr>
        <w:t>XXXXXXXXXX</w:t>
      </w:r>
    </w:p>
    <w:p>
      <w:pPr>
        <w:pStyle w:val="Nivel2"/>
        <w:numPr>
          <w:ilvl w:val="1"/>
          <w:numId w:val="173"/>
        </w:numPr>
        <w:spacing w:lineRule="auto" w:line="312" w:before="120" w:after="288"/>
        <w:ind w:left="0" w:firstLine="567"/>
        <w:rPr>
          <w:color w:val="000000"/>
          <w:highlight w:val="none"/>
          <w:shd w:fill="auto" w:val="clear"/>
        </w:rPr>
      </w:pPr>
      <w:commentRangeStart w:id="27"/>
      <w:r>
        <w:rPr>
          <w:i/>
          <w:color w:val="000000"/>
          <w:shd w:fill="auto" w:val="clear"/>
        </w:rPr>
        <w:t>A dotação relativa aos exercícios financeiros subsequentes será indicada após aprovação da Lei Orçamentária respectiva e liberação dos créditos correspondentes, mediante apostilamento.</w:t>
      </w:r>
      <w:commentRangeEnd w:id="27"/>
      <w:r>
        <w:commentReference w:id="27"/>
      </w:r>
      <w:r>
        <w:rPr>
          <w:i/>
          <w:color w:val="000000"/>
          <w:shd w:fill="auto" w:val="clear"/>
        </w:rPr>
      </w:r>
    </w:p>
    <w:p>
      <w:pPr>
        <w:pStyle w:val="Nivel01"/>
        <w:numPr>
          <w:ilvl w:val="0"/>
          <w:numId w:val="174"/>
        </w:numPr>
        <w:spacing w:lineRule="auto" w:line="312" w:before="120" w:after="288"/>
        <w:ind w:left="0" w:hanging="0"/>
        <w:rPr>
          <w:color w:val="FFFFFF" w:themeColor="background1"/>
        </w:rPr>
      </w:pPr>
      <w:r>
        <w:rPr/>
        <w:t>CLÁUSULA DÉCIMA QUINTA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75"/>
        </w:numPr>
        <w:spacing w:lineRule="auto" w:line="312" w:before="120" w:after="288"/>
        <w:ind w:left="0" w:firstLine="567"/>
        <w:rPr>
          <w:iCs/>
        </w:rPr>
      </w:pPr>
      <w:commentRangeStart w:id="28"/>
      <w:r>
        <w:rPr>
          <w:iCs/>
        </w:rPr>
        <w:t xml:space="preserve">Os casos omissos serão decididos pelo contratante, segundo as disposições contidas na </w:t>
      </w:r>
      <w:hyperlink r:id="rId20">
        <w:r>
          <w:rPr>
            <w:iCs/>
          </w:rPr>
          <w:t>Lei nº 14.133, de 2021</w:t>
        </w:r>
      </w:hyperlink>
      <w:r>
        <w:rPr>
          <w:iCs/>
        </w:rPr>
        <w:t>, e demais normas federais aplicáveis e, subsidiariamente, segundo as disposições contidas na</w:t>
      </w:r>
      <w:r>
        <w:rPr/>
        <w:t xml:space="preserve"> </w:t>
      </w:r>
      <w:hyperlink r:id="rId21">
        <w:r>
          <w:rPr>
            <w:rStyle w:val="LinkdaInternet"/>
          </w:rPr>
          <w:t>Lei nº 8.078, de 1990 – Código de Defesa do Consumidor</w:t>
        </w:r>
      </w:hyperlink>
      <w:r>
        <w:rPr/>
        <w:t xml:space="preserve"> </w:t>
      </w:r>
      <w:r>
        <w:rPr>
          <w:iCs/>
        </w:rPr>
        <w:t>– e normas e princípios gerais dos contratos.</w:t>
      </w:r>
      <w:commentRangeEnd w:id="28"/>
      <w:r>
        <w:commentReference w:id="28"/>
      </w:r>
      <w:r>
        <w:rPr>
          <w:iCs/>
        </w:rPr>
      </w:r>
    </w:p>
    <w:p>
      <w:pPr>
        <w:pStyle w:val="Nivel01"/>
        <w:numPr>
          <w:ilvl w:val="0"/>
          <w:numId w:val="176"/>
        </w:numPr>
        <w:spacing w:lineRule="auto" w:line="312" w:before="120" w:after="288"/>
        <w:ind w:left="0" w:hanging="0"/>
        <w:rPr>
          <w:color w:val="FFFFFF" w:themeColor="background1"/>
        </w:rPr>
      </w:pPr>
      <w:r>
        <w:rPr/>
        <w:t>CLÁUSULA DÉCIMA SEXTA – ALTERAÇÕES</w:t>
      </w:r>
    </w:p>
    <w:p>
      <w:pPr>
        <w:pStyle w:val="Nivel2"/>
        <w:numPr>
          <w:ilvl w:val="1"/>
          <w:numId w:val="177"/>
        </w:numPr>
        <w:spacing w:lineRule="auto" w:line="312" w:before="120" w:after="288"/>
        <w:ind w:left="0" w:firstLine="567"/>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78"/>
        </w:numPr>
        <w:spacing w:lineRule="auto" w:line="312" w:before="120" w:after="288"/>
        <w:ind w:left="0" w:firstLine="567"/>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79"/>
        </w:numPr>
        <w:spacing w:lineRule="auto" w:line="312" w:before="120" w:after="288"/>
        <w:ind w:left="0" w:firstLine="567"/>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80"/>
        </w:numPr>
        <w:spacing w:lineRule="auto" w:line="312" w:before="120" w:after="288"/>
        <w:ind w:left="0" w:firstLine="567"/>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81"/>
        </w:numPr>
        <w:spacing w:lineRule="auto" w:line="312" w:before="120" w:after="288"/>
        <w:ind w:left="0" w:hanging="0"/>
        <w:rPr>
          <w:color w:val="FFFFFF" w:themeColor="background1"/>
        </w:rPr>
      </w:pPr>
      <w:r>
        <w:rPr/>
        <w:t>CLÁUSULA DÉCIMA SÉTIMA – PUBLICAÇÃO</w:t>
      </w:r>
    </w:p>
    <w:p>
      <w:pPr>
        <w:pStyle w:val="Nivel2"/>
        <w:numPr>
          <w:ilvl w:val="1"/>
          <w:numId w:val="182"/>
        </w:numPr>
        <w:spacing w:lineRule="auto" w:line="312" w:before="120" w:after="288"/>
        <w:ind w:left="0" w:firstLine="567"/>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art. 91, </w:t>
      </w:r>
      <w:r>
        <w:rPr>
          <w:i/>
          <w:iCs/>
        </w:rPr>
        <w:t>caput,</w:t>
      </w:r>
      <w:r>
        <w:rPr/>
        <w:t xml:space="preserve"> da Lei n.º 14.133, de 2021, e 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numPr>
          <w:ilvl w:val="0"/>
          <w:numId w:val="183"/>
        </w:numPr>
        <w:spacing w:lineRule="auto" w:line="312" w:before="120" w:after="288"/>
        <w:ind w:left="0" w:hanging="0"/>
        <w:rPr>
          <w:color w:val="FFFFFF" w:themeColor="background1"/>
        </w:rPr>
      </w:pPr>
      <w:r>
        <w:rPr/>
        <w:t>CLÁUSULA DÉCIMA OITAVA–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84"/>
        </w:numPr>
        <w:spacing w:lineRule="auto" w:line="312" w:before="120" w:after="288"/>
        <w:ind w:left="0" w:firstLine="567"/>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ivel2"/>
        <w:numPr>
          <w:ilvl w:val="0"/>
          <w:numId w:val="0"/>
        </w:numPr>
        <w:spacing w:lineRule="auto" w:line="312" w:before="120" w:after="288"/>
        <w:ind w:left="0" w:firstLine="709"/>
        <w:rPr>
          <w:i/>
          <w:i/>
          <w:iCs/>
          <w:color w:val="FF0000"/>
        </w:rPr>
      </w:pPr>
      <w:r>
        <w:rPr>
          <w:i/>
          <w:iCs/>
          <w:color w:val="FF0000"/>
        </w:rPr>
      </w:r>
    </w:p>
    <w:p>
      <w:pPr>
        <w:pStyle w:val="Nivel2"/>
        <w:numPr>
          <w:ilvl w:val="0"/>
          <w:numId w:val="0"/>
        </w:numPr>
        <w:spacing w:lineRule="auto" w:line="312" w:before="120" w:after="288"/>
        <w:ind w:left="0" w:firstLine="709"/>
        <w:jc w:val="center"/>
        <w:rPr>
          <w:color w:val="000000"/>
          <w:highlight w:val="none"/>
          <w:shd w:fill="FFFF00" w:val="clear"/>
        </w:rPr>
      </w:pPr>
      <w:r>
        <w:rPr>
          <w:i/>
          <w:iCs/>
          <w:color w:val="000000"/>
          <w:shd w:fill="FFFF00" w:val="clear"/>
        </w:rPr>
        <w:t>[Local]</w:t>
      </w:r>
      <w:r>
        <w:rPr>
          <w:i/>
          <w:iCs/>
          <w:color w:val="000000"/>
          <w:shd w:fill="FFFF00" w:val="clear"/>
        </w:rPr>
        <w:t>,</w:t>
      </w:r>
      <w:r>
        <w:rPr>
          <w:i/>
          <w:iCs/>
          <w:color w:val="000000"/>
          <w:shd w:fill="FFFF00" w:val="clear"/>
        </w:rPr>
        <w:t xml:space="preserve"> [dia] </w:t>
      </w:r>
      <w:r>
        <w:rPr>
          <w:i/>
          <w:iCs/>
          <w:color w:val="000000"/>
          <w:shd w:fill="FFFF00" w:val="clear"/>
        </w:rPr>
        <w:t>de</w:t>
      </w:r>
      <w:r>
        <w:rPr>
          <w:i/>
          <w:iCs/>
          <w:color w:val="000000"/>
          <w:shd w:fill="FFFF00" w:val="clear"/>
        </w:rPr>
        <w:t xml:space="preserve"> [mês] </w:t>
      </w:r>
      <w:r>
        <w:rPr>
          <w:i/>
          <w:iCs/>
          <w:color w:val="000000"/>
          <w:shd w:fill="FFFF00" w:val="clear"/>
        </w:rPr>
        <w:t>de</w:t>
      </w:r>
      <w:r>
        <w:rPr>
          <w:i/>
          <w:iCs/>
          <w:color w:val="000000"/>
          <w:shd w:fill="FFFF00" w:val="clear"/>
        </w:rPr>
        <w:t xml:space="preserv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
    </w:p>
    <w:sectPr>
      <w:headerReference w:type="default" r:id="rId22"/>
      <w:footerReference w:type="default" r:id="rId2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 xml:space="preserve">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 xml:space="preserve">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r>
      <w:r>
        <w:rPr>
          <w:rFonts w:ascii="Liberation Serif" w:hAnsi="Liberation Serif" w:eastAsia="Segoe UI"/>
          <w:b/>
          <w:bCs/>
          <w:i/>
          <w:iCs/>
          <w:color w:val="00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xml:space="preserve">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"http://www.planalto.gov.br/ccivil_03/_ato2019-2022/2021/lei/L14133.htm" \l "art89§1"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p>
      <w:r>
        <w:rPr>
          <w:rFonts w:ascii="Liberation Serif" w:hAnsi="Liberation Serif" w:eastAsia="Segoe UI"/>
          <w:b/>
          <w:bCs/>
          <w:i/>
          <w:iCs/>
          <w:color w:val="000000"/>
          <w:lang w:val="en-US" w:eastAsia="en-US" w:bidi="en-US"/>
        </w:rPr>
        <w:t>Nota Explicativa 2</w:t>
      </w:r>
      <w:r>
        <w:rPr>
          <w:rFonts w:ascii="Liberation Serif" w:hAnsi="Liberation Serif" w:eastAsia="Segoe UI"/>
          <w:lang w:val="en-US" w:eastAsia="en-US" w:bidi="en-US"/>
        </w:rPr>
        <w:t>: Caso seja exigida a garantia na modalidade seguro-garantia com cláusula de retomada, já no preâmbulo do contrato deverá ser acrescentada a menção à seguradora, com a respectiva qualificação, que será doravante designada como INTERVENIENTE ANUENTE.</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Utilizar a redação do subitem 2.1 e 2.2 para </w:t>
      </w:r>
      <w:r>
        <w:rPr>
          <w:rFonts w:ascii="Liberation Serif" w:hAnsi="Liberation Serif" w:eastAsia="Segoe UI"/>
          <w:b/>
          <w:bCs/>
          <w:i/>
          <w:iCs/>
          <w:color w:val="000000"/>
          <w:lang w:val="en-US" w:eastAsia="en-US" w:bidi="en-US"/>
        </w:rPr>
        <w:t>contratos de escopo</w:t>
      </w:r>
      <w:r>
        <w:rPr>
          <w:rFonts w:ascii="Liberation Serif" w:hAnsi="Liberation Serif" w:eastAsia="Segoe UI"/>
          <w:i/>
          <w:iCs/>
          <w:color w:val="000000"/>
          <w:lang w:val="en-US" w:eastAsia="en-US" w:bidi="en-US"/>
        </w:rPr>
        <w:t xml:space="preserve">, cuja vigência se fundamenta no </w:t>
      </w:r>
      <w:r>
        <w:fldChar w:fldCharType="begin"/>
      </w:r>
      <w:r>
        <w:instrText xml:space="preserve"> HYPERLINK "http://www.planalto.gov.br/ccivil_03/_ato2019-2022/2021/lei/L14133.htm" \l "art105"</w:instrText>
      </w:r>
      <w:r>
        <w:fldChar w:fldCharType="separate"/>
      </w:r>
      <w:r>
        <w:rPr>
          <w:rFonts w:ascii="Liberation Serif" w:hAnsi="Liberation Serif" w:eastAsia="Segoe UI"/>
          <w:i/>
          <w:iCs/>
          <w:color w:val="000000"/>
          <w:lang w:val="en-US" w:eastAsia="en-US" w:bidi="en-US"/>
        </w:rPr>
        <w:t>art. 105 da Lei n.º 14.133, de 2021</w:t>
      </w:r>
      <w:r>
        <w:fldChar w:fldCharType="end"/>
      </w:r>
    </w:p>
  </w:comment>
  <w:comment w:id="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xml:space="preserve">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 xml:space="preserve">A </w:t>
      </w:r>
      <w:hyperlink r:id="rId1">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4" w:author="Autor" w:date="0-00-00T00:00:00Z" w:initials="A">
    <w:p>
      <w:r>
        <w:rPr>
          <w:rFonts w:ascii="Liberation Serif" w:hAnsi="Liberation Serif" w:eastAsia="Segoe UI"/>
          <w:b/>
          <w:i/>
          <w:iCs/>
          <w:lang w:val="en-US" w:eastAsia="en-US" w:bidi="en-US"/>
        </w:rPr>
        <w:t>Nota Explicativa 1:</w:t>
      </w:r>
      <w:r>
        <w:rPr>
          <w:rFonts w:ascii="Liberation Serif" w:hAnsi="Liberation Serif" w:eastAsia="Segoe UI"/>
          <w:i/>
          <w:iCs/>
          <w:lang w:val="en-US" w:eastAsia="en-US" w:bidi="en-US"/>
        </w:rPr>
        <w:t xml:space="preserve"> Caso não tenha sido utilizado SINAPI/SICRO como referência, mencionar o sistema utilizado e respectiva data, ou ainda a data de referência para um dos demais parâmetros do §2º do art. 23 da Lei nº 14.133, de 2021, que tenham servido para a estimativa de custos do serviço.</w:t>
      </w:r>
    </w:p>
    <w:p>
      <w:r>
        <w:rPr>
          <w:rFonts w:ascii="Liberation Serif" w:hAnsi="Liberation Serif" w:eastAsia="Segoe UI"/>
          <w:lang w:val="en-US" w:eastAsia="en-US" w:bidi="en-US"/>
        </w:rPr>
      </w:r>
    </w:p>
  </w:comment>
  <w:comment w:id="5"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xml:space="preserve">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art. 25, § 7º, da Lei n.º 14.133, de 2021</w:t>
      </w:r>
      <w:r>
        <w:fldChar w:fldCharType="end"/>
      </w:r>
      <w:r>
        <w:rPr>
          <w:rFonts w:ascii="Liberation Serif" w:hAnsi="Liberation Serif" w:eastAsia="Segoe UI"/>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6"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lang w:val="en-US" w:eastAsia="en-US" w:bidi="en-US"/>
        </w:rPr>
        <w:t xml:space="preserve">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7"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i/>
          <w:lang w:val="en-US" w:eastAsia="en-US" w:bidi="en-US"/>
        </w:rPr>
        <w:t xml:space="preserve"> As obrigações que seguem, tanto do contratante como do contratado, são meramente ilustrativas. O órgão ou entidade licitante deverá adaptá-las ou suprimi-las, em conformidade com as peculiaridades do serviço de engenharia de que necessita.</w:t>
      </w:r>
    </w:p>
  </w:comment>
  <w:comment w:id="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da Lei nº 14.133/21</w:t>
      </w:r>
      <w:r>
        <w:fldChar w:fldCharType="end"/>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parágrafo único, da Lei n.º 14.133, de 2021</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"https://in.gov.br/en/web/dou/-/decreto-n-11.246-de-27-de-outubro-de-2022-440217660" \l "art28"</w:instrText>
      </w:r>
      <w:r>
        <w:fldChar w:fldCharType="separate"/>
      </w:r>
      <w:r>
        <w:rPr>
          <w:rFonts w:ascii="Liberation Serif" w:hAnsi="Liberation Serif" w:eastAsia="Segoe UI"/>
          <w:i/>
          <w:iCs/>
          <w:color w:val="000000"/>
          <w:lang w:val="en-US" w:eastAsia="en-US" w:bidi="en-US"/>
        </w:rPr>
        <w:t>art. 28, do Decreto n.º 11.246, de 2022</w:t>
      </w:r>
      <w:r>
        <w:fldChar w:fldCharType="end"/>
      </w:r>
      <w:r>
        <w:rPr>
          <w:rFonts w:ascii="Liberation Serif" w:hAnsi="Liberation Serif" w:eastAsia="Segoe UI"/>
          <w:i/>
          <w:iCs/>
          <w:color w:val="000000"/>
          <w:lang w:val="en-US" w:eastAsia="en-US" w:bidi="en-US"/>
        </w:rPr>
        <w:t>, estabelecem que o prazo será de um mês.</w:t>
      </w:r>
    </w:p>
  </w:comment>
  <w:comment w:id="9"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xml:space="preserve"> O </w:t>
      </w:r>
      <w:r>
        <w:fldChar w:fldCharType="begin"/>
      </w:r>
      <w:r>
        <w:instrText xml:space="preserve"> HYPERLINK "http://www.planalto.gov.br/ccivil_03/_ato2019-2022/2021/lei/L14133.htm" \l "art92"</w:instrText>
      </w:r>
      <w:r>
        <w:fldChar w:fldCharType="separate"/>
      </w:r>
      <w:r>
        <w:rPr>
          <w:rFonts w:ascii="Liberation Serif" w:hAnsi="Liberation Serif" w:eastAsia="Segoe UI"/>
          <w:lang w:val="en-US" w:eastAsia="en-US" w:bidi="en-US"/>
        </w:rPr>
        <w:t>art. 92, inciso XI, da Lei nº 14.133, de 2021</w:t>
      </w:r>
      <w:r>
        <w:fldChar w:fldCharType="end"/>
      </w:r>
      <w:r>
        <w:rPr>
          <w:rFonts w:ascii="Liberation Serif" w:hAnsi="Liberation Serif" w:eastAsia="Segoe UI"/>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xml:space="preserve"> HYPERLINK "http://www.planalto.gov.br/ccivil_03/_ato2019-2022/2021/lei/L14133.htm" \l "art123"</w:instrText>
      </w:r>
      <w:r>
        <w:fldChar w:fldCharType="separate"/>
      </w:r>
      <w:r>
        <w:rPr>
          <w:rFonts w:ascii="Liberation Serif" w:hAnsi="Liberation Serif" w:eastAsia="Segoe UI"/>
          <w:lang w:val="en-US" w:eastAsia="en-US" w:bidi="en-US"/>
        </w:rPr>
        <w:t>art. 123 do texto legal</w:t>
      </w:r>
      <w:r>
        <w:fldChar w:fldCharType="end"/>
      </w:r>
      <w:r>
        <w:rPr>
          <w:rFonts w:ascii="Liberation Serif" w:hAnsi="Liberation Serif" w:eastAsia="Segoe UI"/>
          <w:lang w:val="en-US" w:eastAsia="en-US" w:bidi="en-US"/>
        </w:rPr>
        <w:t>, o que deverá ser analisado conforme as especificidades de cada órgão.</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xml:space="preserve"> HYPERLINK "http://www.planalto.gov.br/ccivil_03/_ato2019-2022/2021/lei/L14133.htm" \l "art137§4"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11" w:author="Autor" w:date="0-00-00T00:00:00Z" w:initials="A">
    <w:p>
      <w:r>
        <w:rPr>
          <w:rFonts w:ascii="Liberation Serif" w:hAnsi="Liberation Serif" w:eastAsia="Segoe UI"/>
          <w:b/>
          <w:bCs/>
          <w:i/>
          <w:iCs/>
          <w:lang w:val="en-US" w:eastAsia="en-US" w:bidi="en-US"/>
        </w:rPr>
        <w:t>Nota Explicativa 1:</w:t>
      </w:r>
      <w:r>
        <w:rPr>
          <w:rFonts w:ascii="Liberation Serif" w:hAnsi="Liberation Serif" w:eastAsia="Segoe UI"/>
          <w:i/>
          <w:iCs/>
          <w:lang w:val="en-US" w:eastAsia="en-US" w:bidi="en-US"/>
        </w:rPr>
        <w:t xml:space="preserve"> No caso de órgãos ou entidades públicas vinculados ao Ministério da Economia, considerada a edição da </w:t>
      </w:r>
      <w:hyperlink r:id="rId2">
        <w:r>
          <w:rPr>
            <w:rFonts w:ascii="Liberation Serif" w:hAnsi="Liberation Serif" w:eastAsia="Segoe UI"/>
            <w:i/>
            <w:iCs/>
            <w:lang w:val="en-US" w:eastAsia="en-US" w:bidi="en-US"/>
          </w:rPr>
          <w:t>Portaria ME n° 1.144, de 3 de fevereiro de 2021</w:t>
        </w:r>
      </w:hyperlink>
      <w:r>
        <w:rPr>
          <w:rFonts w:ascii="Liberation Serif" w:hAnsi="Liberation Serif" w:eastAsia="Segoe UI"/>
          <w:i/>
          <w:iCs/>
          <w:lang w:val="en-US" w:eastAsia="en-US" w:bidi="en-US"/>
        </w:rPr>
        <w:t xml:space="preserve">, que disciplina os procedimentos e as rotinas para prevenção do nepotismo e responsabilização das suas ocorrências no âmbito daquele Ministério, necessário incluir, nesse item, subitem com o seguinte teor: </w:t>
      </w:r>
    </w:p>
    <w:p>
      <w:r>
        <w:rPr>
          <w:rFonts w:ascii="Liberation Serif" w:hAnsi="Liberation Serif" w:eastAsia="Segoe UI"/>
          <w:i/>
          <w:iCs/>
          <w:lang w:val="en-US" w:eastAsia="en-US" w:bidi="en-US"/>
        </w:rPr>
        <w:t xml:space="preserve">“.x. Apresentar as declarações firmadas pelos terceirizados indicados aos postos de serviços contratados, em conformidade com o </w:t>
      </w:r>
      <w:r>
        <w:fldChar w:fldCharType="begin"/>
      </w:r>
      <w:r>
        <w:instrText xml:space="preserve"> HYPERLINK "http://www.planalto.gov.br/ccivil_03/_ato2019-2022/2021/lei/L14133.htm" \l "art5"</w:instrText>
      </w:r>
      <w:r>
        <w:fldChar w:fldCharType="separate"/>
      </w:r>
      <w:r>
        <w:rPr>
          <w:rFonts w:ascii="Liberation Serif" w:hAnsi="Liberation Serif" w:eastAsia="Segoe UI"/>
          <w:i/>
          <w:iCs/>
          <w:lang w:val="en-US" w:eastAsia="en-US" w:bidi="en-US"/>
        </w:rPr>
        <w:t>artigo 5°, inciso I, da Portaria ME n° 1.144, de 3 de fevereiro de 2021</w:t>
      </w:r>
      <w:r>
        <w:fldChar w:fldCharType="end"/>
      </w:r>
      <w:r>
        <w:rPr>
          <w:rFonts w:ascii="Liberation Serif" w:hAnsi="Liberation Serif" w:eastAsia="Segoe UI"/>
          <w:i/>
          <w:iCs/>
          <w:lang w:val="en-US" w:eastAsia="en-US" w:bidi="en-US"/>
        </w:rPr>
        <w:t xml:space="preserve">, atestando ausência de relação familiar ou de parentesco que importe a prática de nepotismo, nos termos do disposto no </w:t>
      </w:r>
      <w:r>
        <w:fldChar w:fldCharType="begin"/>
      </w:r>
      <w:r>
        <w:instrText xml:space="preserve"> HYPERLINK "http://www.planalto.gov.br/ccivil_03/_ato2019-2022/2021/lei/L14133.htm" \l "art2"</w:instrText>
      </w:r>
      <w:r>
        <w:fldChar w:fldCharType="separate"/>
      </w:r>
      <w:r>
        <w:rPr>
          <w:rFonts w:ascii="Liberation Serif" w:hAnsi="Liberation Serif" w:eastAsia="Segoe UI"/>
          <w:i/>
          <w:iCs/>
          <w:lang w:val="en-US" w:eastAsia="en-US" w:bidi="en-US"/>
        </w:rPr>
        <w:t>inciso II do artigo 2° daquele normativo.”</w:t>
      </w:r>
      <w:r>
        <w:fldChar w:fldCharType="end"/>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3"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Segoe UI"/>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3">
        <w:r>
          <w:rPr>
            <w:rFonts w:ascii="Liberation Serif" w:hAnsi="Liberation Serif" w:eastAsia="Segoe UI"/>
            <w:i/>
            <w:iCs/>
            <w:color w:val="000000"/>
            <w:lang w:val="en-US" w:eastAsia="en-US" w:bidi="en-US"/>
          </w:rPr>
          <w:t>à Lei Complementar nº 116/2003</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xml:space="preserve"> HYPERLINK "https://www.planalto.gov.br/ccivil_03/constituicao/constituicao.htm" \l "art155"</w:instrText>
      </w:r>
      <w:r>
        <w:fldChar w:fldCharType="separate"/>
      </w:r>
      <w:r>
        <w:rPr>
          <w:rFonts w:ascii="Liberation Serif" w:hAnsi="Liberation Serif" w:eastAsia="Segoe UI"/>
          <w:i/>
          <w:iCs/>
          <w:color w:val="000000"/>
          <w:lang w:val="en-US" w:eastAsia="en-US" w:bidi="en-US"/>
        </w:rPr>
        <w:t>art. 155, II, da CF/88</w:t>
      </w:r>
      <w:r>
        <w:fldChar w:fldCharType="end"/>
      </w:r>
      <w:r>
        <w:rPr>
          <w:rFonts w:ascii="Liberation Serif" w:hAnsi="Liberation Serif" w:eastAsia="Segoe UI"/>
          <w:i/>
          <w:iCs/>
          <w:color w:val="000000"/>
          <w:lang w:val="en-US" w:eastAsia="en-US" w:bidi="en-US"/>
        </w:rPr>
        <w:t xml:space="preserve">), bem como as exceções expressamente previstas na lista da referida LC 116/2003. </w:t>
      </w:r>
    </w:p>
  </w:comment>
  <w:comment w:id="14" w:author="Autor" w:date="0-00-00T00:00:00Z" w:initials="A">
    <w:p>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Incluir os subitens 9.25 e 9.26 caso o contrato tenha por objeto</w:t>
      </w:r>
      <w:r>
        <w:rPr>
          <w:rFonts w:ascii="Liberation Serif" w:hAnsi="Liberation Serif" w:eastAsia="Segoe UI"/>
          <w:i/>
          <w:iCs/>
          <w:color w:val="000000"/>
          <w:lang w:val="en-US" w:eastAsia="en-US" w:bidi="en-US"/>
        </w:rPr>
        <w:t xml:space="preserve"> a elaboração de </w:t>
      </w:r>
      <w:r>
        <w:rPr>
          <w:rFonts w:ascii="Liberation Serif" w:hAnsi="Liberation Serif" w:eastAsia="Segoe UI"/>
          <w:i/>
          <w:iCs/>
          <w:lang w:val="en-US" w:eastAsia="en-US" w:bidi="en-US"/>
        </w:rPr>
        <w:t xml:space="preserve">projetos ou a execução de serviços técnicos especializados, conforme </w:t>
      </w:r>
      <w:r>
        <w:fldChar w:fldCharType="begin"/>
      </w:r>
      <w:r>
        <w:instrText xml:space="preserve"> HYPERLINK "http://www.planalto.gov.br/ccivil_03/_ato2019-2022/2021/lei/L14133.htm" \l "art93"</w:instrText>
      </w:r>
      <w:r>
        <w:fldChar w:fldCharType="separate"/>
      </w:r>
      <w:r>
        <w:rPr>
          <w:rFonts w:ascii="Liberation Serif" w:hAnsi="Liberation Serif" w:eastAsia="Segoe UI"/>
          <w:i/>
          <w:iCs/>
          <w:lang w:val="en-US" w:eastAsia="en-US" w:bidi="en-US"/>
        </w:rPr>
        <w:t>art. 93, caput, da Lei n.º 14.133/2021.</w:t>
      </w:r>
      <w:r>
        <w:fldChar w:fldCharType="end"/>
      </w:r>
      <w:r>
        <w:rPr>
          <w:rFonts w:ascii="Liberation Serif" w:hAnsi="Liberation Serif" w:eastAsia="Segoe UI"/>
          <w:i/>
          <w:iCs/>
          <w:lang w:val="en-US" w:eastAsia="en-US" w:bidi="en-US"/>
        </w:rPr>
        <w:t xml:space="preserve"> </w:t>
      </w:r>
    </w:p>
    <w:p>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Vale registrar que o </w:t>
      </w:r>
      <w:r>
        <w:fldChar w:fldCharType="begin"/>
      </w:r>
      <w:r>
        <w:instrText xml:space="preserve"> HYPERLINK "http://www.planalto.gov.br/ccivil_03/_ato2019-2022/2021/lei/L14133.htm" \l "art93§2"</w:instrText>
      </w:r>
      <w:r>
        <w:fldChar w:fldCharType="separate"/>
      </w:r>
      <w:r>
        <w:rPr>
          <w:rFonts w:ascii="Liberation Serif" w:hAnsi="Liberation Serif" w:eastAsia="Segoe UI"/>
          <w:i/>
          <w:iCs/>
          <w:lang w:val="en-US" w:eastAsia="en-US" w:bidi="en-US"/>
        </w:rPr>
        <w:t>§2º do art. 93</w:t>
      </w:r>
      <w:r>
        <w:fldChar w:fldCharType="end"/>
      </w:r>
      <w:r>
        <w:rPr>
          <w:rFonts w:ascii="Liberation Serif" w:hAnsi="Liberation Serif" w:eastAsia="Segoe UI"/>
          <w:i/>
          <w:iCs/>
          <w:lang w:val="en-US" w:eastAsia="en-US" w:bidi="en-U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4">
        <w:r>
          <w:rPr>
            <w:rFonts w:ascii="Liberation Serif" w:hAnsi="Liberation Serif" w:eastAsia="Segoe UI"/>
            <w:i/>
            <w:iCs/>
            <w:lang w:val="en-US" w:eastAsia="en-US" w:bidi="en-US"/>
          </w:rPr>
          <w:t>Lei nº 10.973, de 2 de dezembro de 2004</w:t>
        </w:r>
      </w:hyperlink>
      <w:r>
        <w:rPr>
          <w:rFonts w:ascii="Liberation Serif" w:hAnsi="Liberation Serif" w:eastAsia="Segoe UI"/>
          <w:i/>
          <w:iCs/>
          <w:lang w:val="en-US" w:eastAsia="en-US" w:bidi="en-US"/>
        </w:rPr>
        <w:t>”.</w:t>
      </w:r>
    </w:p>
    <w:p>
      <w:r>
        <w:rPr>
          <w:rFonts w:ascii="Liberation Serif" w:hAnsi="Liberation Serif" w:eastAsia="Segoe UI"/>
          <w:b/>
          <w:bCs/>
          <w:i/>
          <w:iCs/>
          <w:lang w:val="en-US" w:eastAsia="en-US" w:bidi="en-US"/>
        </w:rPr>
        <w:t>Nota Explicativa 3:</w:t>
      </w:r>
      <w:r>
        <w:rPr>
          <w:rFonts w:ascii="Liberation Serif" w:hAnsi="Liberation Serif" w:eastAsia="Segoe UI"/>
          <w:i/>
          <w:iCs/>
          <w:lang w:val="en-US" w:eastAsia="en-US" w:bidi="en-US"/>
        </w:rPr>
        <w:t xml:space="preserve"> Acrescentar o subitem 9.26.1  caso o objeto consista na elaboração de projeto relativo a obra imaterial de caráter tecnológico, insuscetível de privilégio, nos termos do </w:t>
      </w:r>
      <w:r>
        <w:fldChar w:fldCharType="begin"/>
      </w:r>
      <w:r>
        <w:instrText xml:space="preserve"> HYPERLINK "http://www.planalto.gov.br/ccivil_03/_ato2019-2022/2021/lei/L14133.htm" \l "art93§1"</w:instrText>
      </w:r>
      <w:r>
        <w:fldChar w:fldCharType="separate"/>
      </w:r>
      <w:r>
        <w:rPr>
          <w:rFonts w:ascii="Liberation Serif" w:hAnsi="Liberation Serif" w:eastAsia="Segoe UI"/>
          <w:i/>
          <w:iCs/>
          <w:lang w:val="en-US" w:eastAsia="en-US" w:bidi="en-US"/>
        </w:rPr>
        <w:t>art. 93, § 1º, da Lei n.º 14.133/2021.</w:t>
      </w:r>
      <w:r>
        <w:fldChar w:fldCharType="end"/>
      </w:r>
      <w:r>
        <w:rPr>
          <w:rFonts w:ascii="Liberation Serif" w:hAnsi="Liberation Serif" w:eastAsia="Segoe UI"/>
          <w:i/>
          <w:iCs/>
          <w:lang w:val="en-US" w:eastAsia="en-US" w:bidi="en-US"/>
        </w:rPr>
        <w:t xml:space="preserve"> </w:t>
      </w:r>
    </w:p>
  </w:comment>
  <w:comment w:id="1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O Termo de Referência deverá definir os profissionais que serão necessários à execução do objeto licitado para, então, permitir delimitar a necessidade de inscrição do Contratado nos conselhos profissionais competentes, podendo haver mais de um no caso equipe multidisciplinar ou de as competências exigidas serem comuns aos profissionais necessários à execução do objeto contratual. Para serviços de engenharia, os conselhos profissionais que normalmente fiscalizam os profissionais necessários são o CREA, o CAU e o CFT.</w:t>
      </w:r>
    </w:p>
  </w:comment>
  <w:comment w:id="16"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Caso o Contratante tenha optado por atribuir ao Contratado a obrigação de elaboração do projeto executivo, os subitens 9.48 e 9.48.1 deverão ser incluídos.</w:t>
      </w:r>
    </w:p>
  </w:comment>
  <w:comment w:id="17"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hyperlink r:id="rId5">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1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20"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1"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Nos casos de serviços contínuos com duração até um ano, a garantia será calculada com base no valor total do contrato. Se de duração superior a um ano, o será com base no valor anual. Nos demais casos (serviços não-contínuos), o será com base no valor inicial.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Nas contratações de obras, serviços e fornecimentos, a garantia poderá ser de até 5% (cinco por cento) do valor inicial do contrato, autorizada a majoração desse percentual para até 10% (dez por cento), desde que justificada mediante análise da complexidade técnica e dos riscos envolvidos. </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Nas contratações de serviços e fornecimentos contínuos com vigência superior a 1 (um) ano, assim como nas subsequentes prorrogações, será utilizado o valor anual do contrato para definição e aplicação desses percentuais. (art. 98 da Lei nº 14.133, de 2021). Nas contratações de obras e serviços de engenharia de grande vulto, poderá ser exigida a prestação de garantia exclusivamente na modalidade seguro-garantia em percentual equivalente a até 30% (trinta por cento) do valor inicial do contrato (art. 99 da Lei de Licitações). O Termo de Referência pode, portanto, trazer percentual entre 5% e 10% (ou de até 30% para grande vulto), mas, para tanto, deverá constar dos autos a citada análise de complexidade técnica e de riscos e a justificativa para tal medida.</w:t>
      </w:r>
    </w:p>
    <w:p>
      <w:r>
        <w:rPr>
          <w:rFonts w:ascii="Liberation Serif" w:hAnsi="Liberation Serif" w:eastAsia="Segoe UI"/>
          <w:b/>
          <w:i/>
          <w:lang w:val="en-US" w:eastAsia="en-US" w:bidi="en-US"/>
        </w:rPr>
        <w:t>Nota Explicativa 4:</w:t>
      </w:r>
      <w:r>
        <w:rPr>
          <w:rFonts w:ascii="Liberation Serif" w:hAnsi="Liberation Serif" w:eastAsia="Segoe UI"/>
          <w:lang w:val="en-US" w:eastAsia="en-US" w:bidi="en-US"/>
        </w:rPr>
        <w:t xml:space="preserve"> </w:t>
      </w:r>
      <w:r>
        <w:rPr>
          <w:rFonts w:ascii="Liberation Serif" w:hAnsi="Liberation Serif" w:eastAsia="Segoe UI"/>
          <w:i/>
          <w:lang w:val="en-US" w:eastAsia="en-US" w:bidi="en-US"/>
        </w:rPr>
        <w:t xml:space="preserve">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w:t>
      </w:r>
      <w:r>
        <w:rPr>
          <w:rFonts w:ascii="Liberation Serif" w:hAnsi="Liberation Serif" w:eastAsia="Segoe UI"/>
          <w:i/>
          <w:strike/>
          <w:lang w:val="en-US" w:eastAsia="en-US" w:bidi="en-US"/>
        </w:rPr>
        <w:t>licitante</w:t>
      </w:r>
      <w:r>
        <w:rPr>
          <w:rFonts w:ascii="Liberation Serif" w:hAnsi="Liberation Serif" w:eastAsia="Segoe UI"/>
          <w:i/>
          <w:lang w:val="en-US" w:eastAsia="en-US" w:bidi="en-US"/>
        </w:rPr>
        <w:t xml:space="preserve"> </w:t>
      </w:r>
      <w:r>
        <w:rPr>
          <w:rFonts w:ascii="Liberation Serif" w:hAnsi="Liberation Serif" w:eastAsia="Segoe UI"/>
          <w:lang w:val="en-US" w:eastAsia="en-US" w:bidi="en-US"/>
        </w:rPr>
        <w:t>adjudicatário</w:t>
      </w:r>
      <w:r>
        <w:rPr>
          <w:rFonts w:ascii="Liberation Serif" w:hAnsi="Liberation Serif" w:eastAsia="Segoe UI"/>
          <w:i/>
          <w:lang w:val="en-US" w:eastAsia="en-US" w:bidi="en-US"/>
        </w:rPr>
        <w:t>.</w:t>
      </w:r>
    </w:p>
    <w:p>
      <w:r>
        <w:rPr>
          <w:rFonts w:ascii="Liberation Serif" w:hAnsi="Liberation Serif" w:eastAsia="Segoe UI"/>
          <w:b/>
          <w:i/>
          <w:lang w:val="en-US" w:eastAsia="en-US" w:bidi="en-US"/>
        </w:rPr>
        <w:t>Nota explicativa 5:</w:t>
      </w:r>
      <w:r>
        <w:rPr>
          <w:rFonts w:ascii="Liberation Serif" w:hAnsi="Liberation Serif" w:eastAsia="Segoe UI"/>
          <w:i/>
          <w:lang w:val="en-US" w:eastAsia="en-US" w:bidi="en-US"/>
        </w:rPr>
        <w:t xml:space="preserve"> Quando o adjudicatário optar pela oferta de seguro-garantia, deverá fazê-lo previamente à assinatura do contrato, conforme prazo fixado no edital (no prazo mínimo de um mês), contado da data de homologação da licitação (art. 96, §3º, da Lei n.º 14.133/2021). </w:t>
      </w:r>
      <w:r>
        <w:rPr>
          <w:rFonts w:ascii="Liberation Serif" w:hAnsi="Liberation Serif" w:eastAsia="Segoe UI"/>
          <w:lang w:val="en-US" w:eastAsia="en-US" w:bidi="en-US"/>
        </w:rPr>
        <w:t>Dúvida: considerando que o art. 96, §3º, da Lei n.º 14.133/2021 fala em “homologação da licitação”, esta disposição sobre o seguro-garantia é aplicável às contratações diretas? Acho que já discutimos isso no grupão, mas não lembro a conclusão...</w:t>
      </w:r>
    </w:p>
    <w:p>
      <w:r>
        <w:rPr>
          <w:rFonts w:ascii="Liberation Serif" w:hAnsi="Liberation Serif" w:eastAsia="Segoe UI"/>
          <w:b/>
          <w:bCs/>
          <w:i/>
          <w:iCs/>
          <w:color w:val="000000"/>
          <w:lang w:val="en-US" w:eastAsia="en-US" w:bidi="en-US"/>
        </w:rPr>
        <w:t>Nota explicativa 6</w:t>
      </w:r>
      <w:r>
        <w:rPr>
          <w:rFonts w:ascii="Liberation Serif" w:hAnsi="Liberation Serif" w:eastAsia="Segoe UI"/>
          <w:i/>
          <w:iCs/>
          <w:color w:val="000000"/>
          <w:lang w:val="en-US" w:eastAsia="en-US" w:bidi="en-US"/>
        </w:rPr>
        <w:t xml:space="preserve">: Nos casos de contratos que impliquem a entrega de bens pela Administração, dos quais o contratado ficará </w:t>
      </w:r>
      <w:r>
        <w:rPr>
          <w:rFonts w:ascii="Liberation Serif" w:hAnsi="Liberation Serif" w:eastAsia="Segoe UI"/>
          <w:i/>
          <w:iCs/>
          <w:lang w:val="en-US" w:eastAsia="en-US" w:bidi="en-US"/>
        </w:rPr>
        <w:t xml:space="preserve">depositário (art.101), deverá </w:t>
      </w:r>
      <w:r>
        <w:rPr>
          <w:rFonts w:ascii="Liberation Serif" w:hAnsi="Liberation Serif" w:eastAsia="Segoe UI"/>
          <w:i/>
          <w:iCs/>
          <w:color w:val="000000"/>
          <w:lang w:val="en-US" w:eastAsia="en-US" w:bidi="en-US"/>
        </w:rPr>
        <w:t>haver nos autos certificação do valor dos bens, e ser utilizada a opção do item  ou 11.6 ao invés do , eventualmente combinando-se com o item , caso adotada a modalidade nele prevista, exclusiva para obras e serviços de engenharia, conforme artigo 102 da Lei de Licitações.</w:t>
      </w:r>
    </w:p>
    <w:p>
      <w:r>
        <w:rPr>
          <w:rFonts w:ascii="Liberation Serif" w:hAnsi="Liberation Serif" w:eastAsia="Segoe UI"/>
          <w:b/>
          <w:bCs/>
          <w:i/>
          <w:iCs/>
          <w:color w:val="000000"/>
          <w:lang w:val="en-US" w:eastAsia="en-US" w:bidi="en-US"/>
        </w:rPr>
        <w:t xml:space="preserve">Nota Explicativa 7: </w:t>
      </w:r>
      <w:r>
        <w:rPr>
          <w:rFonts w:ascii="Liberation Serif" w:hAnsi="Liberation Serif" w:eastAsia="Segoe UI"/>
          <w:i/>
          <w:iCs/>
          <w:color w:val="000000"/>
          <w:lang w:val="en-US" w:eastAsia="en-US" w:bidi="en-US"/>
        </w:rPr>
        <w:t>Se o objeto também envolver fornecimento de bens, recomenda-se utilizar as cláusulas de garantia previstas no modelo de compras.</w:t>
      </w:r>
    </w:p>
  </w:comment>
  <w:comment w:id="2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fldChar w:fldCharType="begin"/>
      </w:r>
      <w:r>
        <w:instrText xml:space="preserve">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O art. 156, §3º, da Lei nº 14.133, de 2021</w:t>
      </w:r>
      <w:r>
        <w:fldChar w:fldCharType="end"/>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desta Lei</w:t>
      </w:r>
      <w:r>
        <w:fldChar w:fldCharType="end"/>
      </w:r>
      <w:r>
        <w:rPr>
          <w:rFonts w:ascii="Liberation Serif" w:hAnsi="Liberation Serif" w:eastAsia="Segoe UI"/>
          <w:i/>
          <w:iCs/>
          <w:color w:val="000000"/>
          <w:lang w:val="en-US" w:eastAsia="en-US" w:bidi="en-US"/>
        </w:rPr>
        <w:t xml:space="preserve">”. </w:t>
      </w:r>
    </w:p>
  </w:comment>
  <w:comment w:id="2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Recomenda-se suprimir a sanção relativa à apresentação, reposição ou suplementação da garantia caso esta não seja exigida para a contratação.</w:t>
      </w:r>
    </w:p>
  </w:comment>
  <w:comment w:id="2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5"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fldChar w:fldCharType="begin"/>
      </w:r>
      <w:r>
        <w:instrText xml:space="preserve"> HYPERLINK "http://www.planalto.gov.br/ccivil_03/_ato2019-2022/2021/lei/L14133.htm" \l "art162"</w:instrText>
      </w:r>
      <w:r>
        <w:fldChar w:fldCharType="separate"/>
      </w:r>
      <w:r>
        <w:rPr>
          <w:rFonts w:ascii="Liberation Serif" w:hAnsi="Liberation Serif" w:eastAsia="Segoe UI"/>
          <w:i/>
          <w:iCs/>
          <w:color w:val="000000"/>
          <w:lang w:val="en-US" w:eastAsia="en-US" w:bidi="en-US"/>
        </w:rPr>
        <w:t>Lei nº 14.133, de 2021 (art. 162, parágrafo único)</w:t>
      </w:r>
      <w:r>
        <w:fldChar w:fldCharType="end"/>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II, da Lei nº 14.133/21</w:t>
      </w:r>
      <w:r>
        <w:fldChar w:fldCharType="end"/>
      </w:r>
      <w:r>
        <w:rPr>
          <w:rFonts w:ascii="Liberation Serif" w:hAnsi="Liberation Serif" w:eastAsia="Segoe UI"/>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2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“A Administração Pública pode invocar </w:t>
      </w:r>
      <w:hyperlink r:id="rId6">
        <w:r>
          <w:rPr>
            <w:rFonts w:ascii="Liberation Serif" w:hAnsi="Liberation Serif" w:eastAsia="Segoe UI"/>
            <w:i/>
            <w:iCs/>
            <w:color w:val="000000"/>
            <w:lang w:val="en-US" w:eastAsia="en-US" w:bidi="en-US"/>
          </w:rPr>
          <w:t>a Lei 8.078/1990 (CDC</w:t>
        </w:r>
      </w:hyperlink>
      <w:r>
        <w:rPr>
          <w:rFonts w:ascii="Liberation Serif" w:hAnsi="Liberation Serif" w:eastAsia="Segoe UI"/>
          <w:i/>
          <w:iCs/>
          <w:color w:val="000000"/>
          <w:lang w:val="en-US" w:eastAsia="en-US" w:bidi="en-US"/>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 xml:space="preserve">“307. Como é exposto no exame técnico transcrito no relatório do TC-016.501/2003-0, acolhido integralmente pelo Relator do Acórdão 1.670/2003-Plenário, Ministro-Substituto Lincoln Magalhães da Rocha, a </w:t>
      </w:r>
      <w:hyperlink r:id="rId7">
        <w:r>
          <w:rPr>
            <w:rFonts w:ascii="Liberation Serif" w:hAnsi="Liberation Serif" w:eastAsia="Segoe UI"/>
            <w:i/>
            <w:iCs/>
            <w:color w:val="000000"/>
            <w:lang w:val="en-US" w:eastAsia="en-US" w:bidi="en-US"/>
          </w:rPr>
          <w:t>Lei 8.078/1990</w:t>
        </w:r>
      </w:hyperlink>
      <w:r>
        <w:rPr>
          <w:rFonts w:ascii="Liberation Serif" w:hAnsi="Liberation Serif" w:eastAsia="Segoe UI"/>
          <w:i/>
          <w:iCs/>
          <w:color w:val="000000"/>
          <w:lang w:val="en-US" w:eastAsia="en-US" w:bidi="en-US"/>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38094394"/>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highlight w:val="none"/>
            <w:shd w:fill="auto" w:val="clear"/>
          </w:rPr>
        </w:pPr>
        <w:r>
          <w:rPr>
            <w:rFonts w:cs="Arial" w:ascii="Arial" w:hAnsi="Arial"/>
            <w:sz w:val="14"/>
            <w:szCs w:val="14"/>
            <w:shd w:fill="auto" w:val="clear"/>
          </w:rPr>
          <w:t>Atualização: agosto/2023</w:t>
        </w:r>
      </w:p>
      <w:p>
        <w:pPr>
          <w:pStyle w:val="Rodap"/>
          <w:rPr>
            <w:rFonts w:ascii="Arial" w:hAnsi="Arial" w:cs="Arial"/>
            <w:sz w:val="14"/>
            <w:szCs w:val="14"/>
          </w:rPr>
        </w:pPr>
        <w:r>
          <w:rPr>
            <w:rFonts w:cs="Arial" w:ascii="Arial" w:hAnsi="Arial"/>
            <w:sz w:val="14"/>
            <w:szCs w:val="14"/>
          </w:rPr>
          <w:t>Termo de contrato modelo para Pregão Eletrônico - Engenharia - Lei n.º 14.133, de 2021.</w:t>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highlight w:val="none"/>
            <w:shd w:fill="auto" w:val="clear"/>
          </w:rPr>
        </w:pPr>
        <w:r>
          <w:rPr>
            <w:rFonts w:cs="Arial" w:ascii="Arial" w:hAnsi="Arial"/>
            <w:sz w:val="14"/>
            <w:szCs w:val="14"/>
            <w:shd w:fill="auto" w:val="clear"/>
          </w:rPr>
          <w:t>Identidade visual pela Secretaria de Gestão e Inovação (versão agosto/2023)</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highlight w:val="none"/>
              <w:shd w:fill="auto" w:val="clear"/>
            </w:rPr>
          </w:pPr>
          <w:r>
            <w:rPr>
              <w:rFonts w:cs="Arial" w:ascii="Arial" w:hAnsi="Arial"/>
              <w:sz w:val="20"/>
              <w:szCs w:val="20"/>
              <w:shd w:fill="auto" w:val="clear"/>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7">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9">
    <w:lvl w:ilvl="0">
      <w:start w:val="7"/>
      <w:numFmt w:val="decimal"/>
      <w:lvlText w:val="%1"/>
      <w:lvlJc w:val="left"/>
      <w:pPr>
        <w:tabs>
          <w:tab w:val="num" w:pos="0"/>
        </w:tabs>
        <w:ind w:left="450" w:hanging="450"/>
      </w:pPr>
      <w:rPr/>
    </w:lvl>
    <w:lvl w:ilvl="1">
      <w:start w:val="1"/>
      <w:numFmt w:val="decimal"/>
      <w:lvlText w:val="%1.%2"/>
      <w:lvlJc w:val="left"/>
      <w:pPr>
        <w:tabs>
          <w:tab w:val="num" w:pos="0"/>
        </w:tabs>
        <w:ind w:left="2718" w:hanging="450"/>
      </w:pPr>
      <w:rPr/>
    </w:lvl>
    <w:lvl w:ilvl="2">
      <w:start w:val="1"/>
      <w:numFmt w:val="decimal"/>
      <w:lvlText w:val="%1.%2.%3"/>
      <w:lvlJc w:val="left"/>
      <w:pPr>
        <w:tabs>
          <w:tab w:val="num" w:pos="0"/>
        </w:tabs>
        <w:ind w:left="5256" w:hanging="720"/>
      </w:pPr>
      <w:rPr>
        <w:sz w:val="20"/>
        <w:szCs w:val="20"/>
        <w:color w:val="000000"/>
      </w:rPr>
    </w:lvl>
    <w:lvl w:ilvl="3">
      <w:start w:val="1"/>
      <w:numFmt w:val="decimal"/>
      <w:lvlText w:val="%1.%2.%3.%4"/>
      <w:lvlJc w:val="left"/>
      <w:pPr>
        <w:tabs>
          <w:tab w:val="num" w:pos="0"/>
        </w:tabs>
        <w:ind w:left="7524" w:hanging="720"/>
      </w:pPr>
      <w:rPr/>
    </w:lvl>
    <w:lvl w:ilvl="4">
      <w:start w:val="1"/>
      <w:numFmt w:val="decimal"/>
      <w:lvlText w:val="%1.%2.%3.%4.%5"/>
      <w:lvlJc w:val="left"/>
      <w:pPr>
        <w:tabs>
          <w:tab w:val="num" w:pos="0"/>
        </w:tabs>
        <w:ind w:left="10152" w:hanging="1080"/>
      </w:pPr>
      <w:rPr/>
    </w:lvl>
    <w:lvl w:ilvl="5">
      <w:start w:val="1"/>
      <w:numFmt w:val="decimal"/>
      <w:lvlText w:val="%1.%2.%3.%4.%5.%6"/>
      <w:lvlJc w:val="left"/>
      <w:pPr>
        <w:tabs>
          <w:tab w:val="num" w:pos="0"/>
        </w:tabs>
        <w:ind w:left="12420" w:hanging="1080"/>
      </w:pPr>
      <w:rPr/>
    </w:lvl>
    <w:lvl w:ilvl="6">
      <w:start w:val="1"/>
      <w:numFmt w:val="decimal"/>
      <w:lvlText w:val="%1.%2.%3.%4.%5.%6.%7"/>
      <w:lvlJc w:val="left"/>
      <w:pPr>
        <w:tabs>
          <w:tab w:val="num" w:pos="0"/>
        </w:tabs>
        <w:ind w:left="15048" w:hanging="1440"/>
      </w:pPr>
      <w:rPr/>
    </w:lvl>
    <w:lvl w:ilvl="7">
      <w:start w:val="1"/>
      <w:numFmt w:val="decimal"/>
      <w:lvlText w:val="%1.%2.%3.%4.%5.%6.%7.%8"/>
      <w:lvlJc w:val="left"/>
      <w:pPr>
        <w:tabs>
          <w:tab w:val="num" w:pos="0"/>
        </w:tabs>
        <w:ind w:left="17316" w:hanging="1440"/>
      </w:pPr>
      <w:rPr/>
    </w:lvl>
    <w:lvl w:ilvl="8">
      <w:start w:val="1"/>
      <w:numFmt w:val="decimal"/>
      <w:lvlText w:val="%1.%2.%3.%4.%5.%6.%7.%8.%9"/>
      <w:lvlJc w:val="left"/>
      <w:pPr>
        <w:tabs>
          <w:tab w:val="num" w:pos="0"/>
        </w:tabs>
        <w:ind w:left="19944" w:hanging="1800"/>
      </w:pPr>
      <w:rPr/>
    </w:lvl>
  </w:abstractNum>
  <w:abstractNum w:abstractNumId="10">
    <w:lvl w:ilvl="0">
      <w:start w:val="1"/>
      <w:numFmt w:val="lowerLetter"/>
      <w:lvlText w:val="%1)"/>
      <w:lvlJc w:val="left"/>
      <w:pPr>
        <w:tabs>
          <w:tab w:val="num" w:pos="0"/>
        </w:tabs>
        <w:ind w:left="1287" w:hanging="360"/>
      </w:pPr>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11">
    <w:lvl w:ilvl="0">
      <w:start w:val="9"/>
      <w:numFmt w:val="decimal"/>
      <w:lvlText w:val="%1"/>
      <w:lvlJc w:val="left"/>
      <w:pPr>
        <w:tabs>
          <w:tab w:val="num" w:pos="0"/>
        </w:tabs>
        <w:ind w:left="560" w:hanging="560"/>
      </w:pPr>
      <w:rPr/>
    </w:lvl>
    <w:lvl w:ilvl="1">
      <w:start w:val="41"/>
      <w:numFmt w:val="decimal"/>
      <w:lvlText w:val="%1.%2"/>
      <w:lvlJc w:val="left"/>
      <w:pPr>
        <w:tabs>
          <w:tab w:val="num" w:pos="0"/>
        </w:tabs>
        <w:ind w:left="1340" w:hanging="560"/>
      </w:pPr>
      <w:rPr/>
    </w:lvl>
    <w:lvl w:ilvl="2">
      <w:start w:val="1"/>
      <w:numFmt w:val="decimal"/>
      <w:lvlText w:val="%1.%2.%3"/>
      <w:lvlJc w:val="left"/>
      <w:pPr>
        <w:tabs>
          <w:tab w:val="num" w:pos="0"/>
        </w:tabs>
        <w:ind w:left="2280" w:hanging="720"/>
      </w:pPr>
      <w:rPr/>
    </w:lvl>
    <w:lvl w:ilvl="3">
      <w:start w:val="1"/>
      <w:numFmt w:val="decimal"/>
      <w:lvlText w:val="%1.%2.%3.%4"/>
      <w:lvlJc w:val="left"/>
      <w:pPr>
        <w:tabs>
          <w:tab w:val="num" w:pos="0"/>
        </w:tabs>
        <w:ind w:left="3060" w:hanging="720"/>
      </w:pPr>
      <w:rPr/>
    </w:lvl>
    <w:lvl w:ilvl="4">
      <w:start w:val="1"/>
      <w:numFmt w:val="decimal"/>
      <w:lvlText w:val="%1.%2.%3.%4.%5"/>
      <w:lvlJc w:val="left"/>
      <w:pPr>
        <w:tabs>
          <w:tab w:val="num" w:pos="0"/>
        </w:tabs>
        <w:ind w:left="4200" w:hanging="1080"/>
      </w:pPr>
      <w:rPr/>
    </w:lvl>
    <w:lvl w:ilvl="5">
      <w:start w:val="1"/>
      <w:numFmt w:val="decimal"/>
      <w:lvlText w:val="%1.%2.%3.%4.%5.%6"/>
      <w:lvlJc w:val="left"/>
      <w:pPr>
        <w:tabs>
          <w:tab w:val="num" w:pos="0"/>
        </w:tabs>
        <w:ind w:left="4980" w:hanging="1080"/>
      </w:pPr>
      <w:rPr/>
    </w:lvl>
    <w:lvl w:ilvl="6">
      <w:start w:val="1"/>
      <w:numFmt w:val="decimal"/>
      <w:lvlText w:val="%1.%2.%3.%4.%5.%6.%7"/>
      <w:lvlJc w:val="left"/>
      <w:pPr>
        <w:tabs>
          <w:tab w:val="num" w:pos="0"/>
        </w:tabs>
        <w:ind w:left="6120" w:hanging="1440"/>
      </w:pPr>
      <w:rPr/>
    </w:lvl>
    <w:lvl w:ilvl="7">
      <w:start w:val="1"/>
      <w:numFmt w:val="decimal"/>
      <w:lvlText w:val="%1.%2.%3.%4.%5.%6.%7.%8"/>
      <w:lvlJc w:val="left"/>
      <w:pPr>
        <w:tabs>
          <w:tab w:val="num" w:pos="0"/>
        </w:tabs>
        <w:ind w:left="6900" w:hanging="1440"/>
      </w:pPr>
      <w:rPr/>
    </w:lvl>
    <w:lvl w:ilvl="8">
      <w:start w:val="1"/>
      <w:numFmt w:val="decimal"/>
      <w:lvlText w:val="%1.%2.%3.%4.%5.%6.%7.%8.%9"/>
      <w:lvlJc w:val="left"/>
      <w:pPr>
        <w:tabs>
          <w:tab w:val="num" w:pos="0"/>
        </w:tabs>
        <w:ind w:left="8040" w:hanging="1800"/>
      </w:pPr>
      <w:rPr/>
    </w:lvl>
  </w:abstractNum>
  <w:abstractNum w:abstractNumId="12">
    <w:lvl w:ilvl="0">
      <w:start w:val="9"/>
      <w:numFmt w:val="decimal"/>
      <w:lvlText w:val="%1"/>
      <w:lvlJc w:val="left"/>
      <w:pPr>
        <w:tabs>
          <w:tab w:val="num" w:pos="0"/>
        </w:tabs>
        <w:ind w:left="560" w:hanging="560"/>
      </w:pPr>
      <w:rPr/>
    </w:lvl>
    <w:lvl w:ilvl="1">
      <w:start w:val="42"/>
      <w:numFmt w:val="decimal"/>
      <w:lvlText w:val="%1.%2"/>
      <w:lvlJc w:val="left"/>
      <w:pPr>
        <w:tabs>
          <w:tab w:val="num" w:pos="0"/>
        </w:tabs>
        <w:ind w:left="1340" w:hanging="560"/>
      </w:pPr>
      <w:rPr/>
    </w:lvl>
    <w:lvl w:ilvl="2">
      <w:start w:val="1"/>
      <w:numFmt w:val="decimal"/>
      <w:lvlText w:val="%1.%2.%3"/>
      <w:lvlJc w:val="left"/>
      <w:pPr>
        <w:tabs>
          <w:tab w:val="num" w:pos="0"/>
        </w:tabs>
        <w:ind w:left="2280" w:hanging="720"/>
      </w:pPr>
      <w:rPr>
        <w:sz w:val="20"/>
        <w:szCs w:val="20"/>
        <w:rFonts w:ascii="Arial" w:hAnsi="Arial" w:cs="Arial"/>
      </w:rPr>
    </w:lvl>
    <w:lvl w:ilvl="3">
      <w:start w:val="1"/>
      <w:numFmt w:val="decimal"/>
      <w:lvlText w:val="%1.%2.%3.%4"/>
      <w:lvlJc w:val="left"/>
      <w:pPr>
        <w:tabs>
          <w:tab w:val="num" w:pos="0"/>
        </w:tabs>
        <w:ind w:left="3060" w:hanging="720"/>
      </w:pPr>
      <w:rPr/>
    </w:lvl>
    <w:lvl w:ilvl="4">
      <w:start w:val="1"/>
      <w:numFmt w:val="decimal"/>
      <w:lvlText w:val="%1.%2.%3.%4.%5"/>
      <w:lvlJc w:val="left"/>
      <w:pPr>
        <w:tabs>
          <w:tab w:val="num" w:pos="0"/>
        </w:tabs>
        <w:ind w:left="4200" w:hanging="1080"/>
      </w:pPr>
      <w:rPr/>
    </w:lvl>
    <w:lvl w:ilvl="5">
      <w:start w:val="1"/>
      <w:numFmt w:val="decimal"/>
      <w:lvlText w:val="%1.%2.%3.%4.%5.%6"/>
      <w:lvlJc w:val="left"/>
      <w:pPr>
        <w:tabs>
          <w:tab w:val="num" w:pos="0"/>
        </w:tabs>
        <w:ind w:left="4980" w:hanging="1080"/>
      </w:pPr>
      <w:rPr/>
    </w:lvl>
    <w:lvl w:ilvl="6">
      <w:start w:val="1"/>
      <w:numFmt w:val="decimal"/>
      <w:lvlText w:val="%1.%2.%3.%4.%5.%6.%7"/>
      <w:lvlJc w:val="left"/>
      <w:pPr>
        <w:tabs>
          <w:tab w:val="num" w:pos="0"/>
        </w:tabs>
        <w:ind w:left="6120" w:hanging="1440"/>
      </w:pPr>
      <w:rPr/>
    </w:lvl>
    <w:lvl w:ilvl="7">
      <w:start w:val="1"/>
      <w:numFmt w:val="decimal"/>
      <w:lvlText w:val="%1.%2.%3.%4.%5.%6.%7.%8"/>
      <w:lvlJc w:val="left"/>
      <w:pPr>
        <w:tabs>
          <w:tab w:val="num" w:pos="0"/>
        </w:tabs>
        <w:ind w:left="6900" w:hanging="1440"/>
      </w:pPr>
      <w:rPr/>
    </w:lvl>
    <w:lvl w:ilvl="8">
      <w:start w:val="1"/>
      <w:numFmt w:val="decimal"/>
      <w:lvlText w:val="%1.%2.%3.%4.%5.%6.%7.%8.%9"/>
      <w:lvlJc w:val="left"/>
      <w:pPr>
        <w:tabs>
          <w:tab w:val="num" w:pos="0"/>
        </w:tabs>
        <w:ind w:left="8040" w:hanging="1800"/>
      </w:pPr>
      <w:rPr/>
    </w:lvl>
  </w:abstractNum>
  <w:abstractNum w:abstractNumId="13">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3"/>
    <w:lvlOverride w:ilvl="0">
      <w:startOverride w:val="1"/>
    </w:lvlOverride>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MenoPendente6" w:customStyle="1">
    <w:name w:val="Menção Pendente6"/>
    <w:basedOn w:val="DefaultParagraphFont"/>
    <w:uiPriority w:val="99"/>
    <w:semiHidden/>
    <w:unhideWhenUsed/>
    <w:qFormat/>
    <w:rsid w:val="000f33a0"/>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numPr>
        <w:ilvl w:val="0"/>
        <w:numId w:val="1"/>
      </w:num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7b1e53"/>
    <w:pPr>
      <w:numPr>
        <w:ilvl w:val="2"/>
        <w:numId w:val="1"/>
      </w:num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www.planalto.gov.br/ccivil_03/_ato2019-2022/2021/lei/L14133.htm" TargetMode="External"/><Relationship Id="rId2" Type="http://schemas.openxmlformats.org/officeDocument/2006/relationships/hyperlink" Target="https://www.in.gov.br/en/web/dou/-/portaria-me-n-1.144-de-3-de-fevereiro-de-2021-302550048" TargetMode="External"/><Relationship Id="rId3" Type="http://schemas.openxmlformats.org/officeDocument/2006/relationships/hyperlink" Target="http://www.planalto.gov.br/ccivil_03/leis/lcp/lcp116.htm" TargetMode="External"/><Relationship Id="rId4" Type="http://schemas.openxmlformats.org/officeDocument/2006/relationships/hyperlink" Target="https://www.planalto.gov.br/ccivil_03/_ato2004-2006/2004/lei/l10.973.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s://www.planalto.gov.br/ccivil_03/leis/l8078compilado.htm" TargetMode="External"/><Relationship Id="rId7" Type="http://schemas.openxmlformats.org/officeDocument/2006/relationships/hyperlink" Target="https://www.planalto.gov.br/ccivil_03/leis/l8078compilado.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8078compilado.htm" TargetMode="External"/><Relationship Id="rId6" Type="http://schemas.openxmlformats.org/officeDocument/2006/relationships/hyperlink" Target="https://www.gov.br/compras/pt-br/acesso-a-informacao/legislacao/instrucoes-normativas/instrucao-normativa-no-01-de-19-de-janeiro-de-2010" TargetMode="External"/><Relationship Id="rId7" Type="http://schemas.openxmlformats.org/officeDocument/2006/relationships/hyperlink" Target="http://www.ibama.gov.br/component/legislacao/?view=legislacao&amp;legislacao=112647" TargetMode="External"/><Relationship Id="rId8" Type="http://schemas.openxmlformats.org/officeDocument/2006/relationships/hyperlink" Target="http://www.ibama.gov.br/phocadownload/sinaflor/2018/2018-06-13-Ibama-IN-IBAMA-21-24-12-2014-SINAFLOR-DOF-compilada.pdf" TargetMode="External"/><Relationship Id="rId9" Type="http://schemas.openxmlformats.org/officeDocument/2006/relationships/hyperlink" Target="https://cetesb.sp.gov.br/licenciamento/documentos/2002_Res_CONAMA_307.pdf" TargetMode="External"/><Relationship Id="rId10" Type="http://schemas.openxmlformats.org/officeDocument/2006/relationships/hyperlink" Target="http://www.ipaam.am.gov.br/wp-content/uploads/2021/01/Conama-382-Poluentes-atmosfericos.pdf" TargetMode="External"/><Relationship Id="rId11" Type="http://schemas.openxmlformats.org/officeDocument/2006/relationships/hyperlink" Target="http://www.ibama.gov.br/sophia/cnia/legislacao/MMA/RE0001-080390.PDF" TargetMode="External"/><Relationship Id="rId12" Type="http://schemas.openxmlformats.org/officeDocument/2006/relationships/hyperlink" Target="https://www.gov.br/compras/pt-br/acesso-a-informacao/legislacao/instrucoes-normativas/instrucao-normativa-no-01-de-19-de-janeiro-de-2010" TargetMode="External"/><Relationship Id="rId13" Type="http://schemas.openxmlformats.org/officeDocument/2006/relationships/hyperlink" Target="https://www.planalto.gov.br/ccivil_03/_ato2015-2018/2018/lei/l13709.htm" TargetMode="External"/><Relationship Id="rId14" Type="http://schemas.openxmlformats.org/officeDocument/2006/relationships/hyperlink" Target="https://www.planalto.gov.br/ccivil_03/_ato2015-2018/2018/lei/l13709.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18" Type="http://schemas.openxmlformats.org/officeDocument/2006/relationships/hyperlink" Target="https://ceiscadastro.cgu.gov.br/index.aspx?ReturnUrl=%2F" TargetMode="External"/><Relationship Id="rId19"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comments" Target="comments.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Relationship Id="rId30" Type="http://schemas.openxmlformats.org/officeDocument/2006/relationships/customXml" Target="../customXml/item2.xml"/><Relationship Id="rId31" Type="http://schemas.openxmlformats.org/officeDocument/2006/relationships/customXml" Target="../customXml/item3.xml"/><Relationship Id="rId3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2.xml><?xml version="1.0" encoding="utf-8"?>
<ds:datastoreItem xmlns:ds="http://schemas.openxmlformats.org/officeDocument/2006/customXml" ds:itemID="{082FBC17-EAFF-4C33-BE65-207A0CD1F883}">
  <ds:schemaRefs>
    <ds:schemaRef ds:uri="http://schemas.openxmlformats.org/officeDocument/2006/bibliography"/>
  </ds:schemaRefs>
</ds:datastoreItem>
</file>

<file path=customXml/itemProps3.xml><?xml version="1.0" encoding="utf-8"?>
<ds:datastoreItem xmlns:ds="http://schemas.openxmlformats.org/officeDocument/2006/customXml" ds:itemID="{38DFB495-B2BC-49FA-B942-2C5DBBAD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Application>LibreOffice/7.4.3.2$Windows_X86_64 LibreOffice_project/1048a8393ae2eeec98dff31b5c133c5f1d08b890</Application>
  <AppVersion>15.0000</AppVersion>
  <Pages>19</Pages>
  <Words>6518</Words>
  <Characters>37038</Characters>
  <CharactersWithSpaces>43137</CharactersWithSpaces>
  <Paragraphs>263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2023-04-28T15:18:00Z</dcterms:created>
  <dc:creator/>
  <dc:description/>
  <dc:language>pt-BR</dc:language>
  <cp:lastModifiedBy/>
  <dcterms:modified xsi:type="dcterms:W3CDTF">2024-10-22T09:56:55Z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